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03A1" w14:textId="77777777" w:rsidR="00DA6894" w:rsidRDefault="00DA6894" w:rsidP="00DA6894">
      <w:pPr>
        <w:jc w:val="center"/>
        <w:rPr>
          <w:rFonts w:ascii="Times New Roman" w:hAnsi="Times New Roman" w:cs="Times New Roman"/>
          <w:b/>
          <w:bCs/>
          <w:sz w:val="24"/>
          <w:szCs w:val="24"/>
        </w:rPr>
      </w:pPr>
    </w:p>
    <w:p w14:paraId="524C31CF" w14:textId="77777777" w:rsidR="00DA6894" w:rsidRDefault="00DA6894" w:rsidP="00DA6894">
      <w:pPr>
        <w:jc w:val="center"/>
        <w:rPr>
          <w:rFonts w:ascii="Times New Roman" w:hAnsi="Times New Roman" w:cs="Times New Roman"/>
          <w:b/>
          <w:bCs/>
          <w:sz w:val="24"/>
          <w:szCs w:val="24"/>
        </w:rPr>
      </w:pPr>
    </w:p>
    <w:p w14:paraId="6A376BE1" w14:textId="77777777" w:rsidR="00DA6894" w:rsidRDefault="00DA6894" w:rsidP="00DA6894">
      <w:pPr>
        <w:jc w:val="center"/>
        <w:rPr>
          <w:rFonts w:ascii="Times New Roman" w:hAnsi="Times New Roman" w:cs="Times New Roman"/>
          <w:b/>
          <w:bCs/>
          <w:sz w:val="24"/>
          <w:szCs w:val="24"/>
        </w:rPr>
      </w:pPr>
    </w:p>
    <w:p w14:paraId="0DB8DA07" w14:textId="77777777" w:rsidR="00DA6894" w:rsidRDefault="00DA6894" w:rsidP="00DA6894">
      <w:pPr>
        <w:jc w:val="center"/>
        <w:rPr>
          <w:rFonts w:ascii="Times New Roman" w:hAnsi="Times New Roman" w:cs="Times New Roman"/>
          <w:b/>
          <w:bCs/>
          <w:sz w:val="24"/>
          <w:szCs w:val="24"/>
        </w:rPr>
      </w:pPr>
    </w:p>
    <w:p w14:paraId="6239521A" w14:textId="77777777" w:rsidR="00DA6894" w:rsidRDefault="00DA6894" w:rsidP="00DA6894">
      <w:pPr>
        <w:jc w:val="center"/>
        <w:rPr>
          <w:rFonts w:ascii="Times New Roman" w:hAnsi="Times New Roman" w:cs="Times New Roman"/>
          <w:b/>
          <w:bCs/>
          <w:sz w:val="24"/>
          <w:szCs w:val="24"/>
        </w:rPr>
      </w:pPr>
    </w:p>
    <w:p w14:paraId="0E991E96" w14:textId="77777777" w:rsidR="00DA6894" w:rsidRDefault="00DA6894" w:rsidP="00DA6894">
      <w:pPr>
        <w:jc w:val="center"/>
        <w:rPr>
          <w:rFonts w:ascii="Times New Roman" w:hAnsi="Times New Roman" w:cs="Times New Roman"/>
          <w:b/>
          <w:bCs/>
          <w:sz w:val="24"/>
          <w:szCs w:val="24"/>
        </w:rPr>
      </w:pPr>
    </w:p>
    <w:p w14:paraId="148151B3" w14:textId="77777777" w:rsidR="00DA6894" w:rsidRDefault="00DA6894" w:rsidP="00DA6894">
      <w:pPr>
        <w:jc w:val="center"/>
        <w:rPr>
          <w:rFonts w:ascii="Times New Roman" w:hAnsi="Times New Roman" w:cs="Times New Roman"/>
          <w:b/>
          <w:bCs/>
          <w:sz w:val="24"/>
          <w:szCs w:val="24"/>
        </w:rPr>
      </w:pPr>
    </w:p>
    <w:p w14:paraId="2B717CA8" w14:textId="23371DDC" w:rsidR="004A2197" w:rsidRDefault="004A2197" w:rsidP="00DA6894">
      <w:pPr>
        <w:jc w:val="center"/>
        <w:rPr>
          <w:rFonts w:ascii="Times New Roman" w:hAnsi="Times New Roman" w:cs="Times New Roman"/>
          <w:b/>
          <w:bCs/>
          <w:sz w:val="24"/>
          <w:szCs w:val="24"/>
        </w:rPr>
      </w:pPr>
      <w:r w:rsidRPr="004A2197">
        <w:rPr>
          <w:rFonts w:ascii="Times New Roman" w:hAnsi="Times New Roman" w:cs="Times New Roman"/>
          <w:b/>
          <w:bCs/>
          <w:sz w:val="24"/>
          <w:szCs w:val="24"/>
        </w:rPr>
        <w:t>Genetics Case Study: Part II</w:t>
      </w:r>
    </w:p>
    <w:p w14:paraId="569BBA35" w14:textId="77777777" w:rsidR="00DA6894" w:rsidRDefault="00DA6894" w:rsidP="00DA6894">
      <w:pPr>
        <w:jc w:val="center"/>
        <w:rPr>
          <w:rFonts w:ascii="Times New Roman" w:hAnsi="Times New Roman" w:cs="Times New Roman"/>
          <w:b/>
          <w:bCs/>
          <w:sz w:val="24"/>
          <w:szCs w:val="24"/>
        </w:rPr>
      </w:pPr>
    </w:p>
    <w:p w14:paraId="2D1D8606"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60AB4EEC"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26FF9D29"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373CF72D"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38E3458D"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38C65E54" w14:textId="77777777" w:rsidR="00DA6894" w:rsidRDefault="00DA6894">
      <w:pPr>
        <w:rPr>
          <w:rFonts w:ascii="Times New Roman" w:hAnsi="Times New Roman" w:cs="Times New Roman"/>
          <w:b/>
          <w:bCs/>
          <w:sz w:val="24"/>
          <w:szCs w:val="24"/>
        </w:rPr>
      </w:pPr>
    </w:p>
    <w:p w14:paraId="011B7E62" w14:textId="498B30E6" w:rsidR="004A2197" w:rsidRDefault="004A2197">
      <w:pPr>
        <w:rPr>
          <w:rFonts w:ascii="Times New Roman" w:hAnsi="Times New Roman" w:cs="Times New Roman"/>
          <w:b/>
          <w:bCs/>
          <w:sz w:val="24"/>
          <w:szCs w:val="24"/>
        </w:rPr>
      </w:pPr>
      <w:r>
        <w:rPr>
          <w:rFonts w:ascii="Times New Roman" w:hAnsi="Times New Roman" w:cs="Times New Roman"/>
          <w:b/>
          <w:bCs/>
          <w:sz w:val="24"/>
          <w:szCs w:val="24"/>
        </w:rPr>
        <w:br w:type="page"/>
      </w:r>
    </w:p>
    <w:p w14:paraId="6250C6C7" w14:textId="570D11D2" w:rsidR="00344935" w:rsidRPr="00E325CF" w:rsidRDefault="00344935" w:rsidP="00E325CF">
      <w:pPr>
        <w:contextualSpacing/>
        <w:jc w:val="center"/>
        <w:rPr>
          <w:rFonts w:ascii="Times New Roman" w:hAnsi="Times New Roman" w:cs="Times New Roman"/>
          <w:b/>
          <w:bCs/>
          <w:sz w:val="24"/>
          <w:szCs w:val="24"/>
        </w:rPr>
      </w:pPr>
      <w:r w:rsidRPr="00E325CF">
        <w:rPr>
          <w:rFonts w:ascii="Times New Roman" w:hAnsi="Times New Roman" w:cs="Times New Roman"/>
          <w:b/>
          <w:bCs/>
          <w:sz w:val="24"/>
          <w:szCs w:val="24"/>
        </w:rPr>
        <w:lastRenderedPageBreak/>
        <w:t>Introduction</w:t>
      </w:r>
    </w:p>
    <w:p w14:paraId="791BD99A" w14:textId="63134BC3" w:rsidR="00682869" w:rsidRPr="00E325CF" w:rsidRDefault="00682869" w:rsidP="00E325CF">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 xml:space="preserve">Sickle cell disease (SCD) is </w:t>
      </w:r>
      <w:proofErr w:type="gramStart"/>
      <w:r w:rsidRPr="00E325CF">
        <w:rPr>
          <w:rFonts w:ascii="Times New Roman" w:hAnsi="Times New Roman" w:cs="Times New Roman"/>
          <w:sz w:val="24"/>
          <w:szCs w:val="24"/>
        </w:rPr>
        <w:t>a genetic</w:t>
      </w:r>
      <w:proofErr w:type="gramEnd"/>
      <w:r w:rsidRPr="00E325CF">
        <w:rPr>
          <w:rFonts w:ascii="Times New Roman" w:hAnsi="Times New Roman" w:cs="Times New Roman"/>
          <w:sz w:val="24"/>
          <w:szCs w:val="24"/>
        </w:rPr>
        <w:t xml:space="preserve"> haemoglobinopathy, but its impact is determined by the external environment. This paper contends that current health care, social and cultural, and environmental conditions are either "risk amplifiers" or "risk buffers" as they influence who is identified through genetic testing, how promptly people enter evidence-based therapy, and the long-term impact of treatment strategies on health outcomes. Therefore, to improve SCD outcomes, screening, culturally safe models of care</w:t>
      </w:r>
      <w:r w:rsidR="00E325CF">
        <w:rPr>
          <w:rFonts w:ascii="Times New Roman" w:hAnsi="Times New Roman" w:cs="Times New Roman"/>
          <w:sz w:val="24"/>
          <w:szCs w:val="24"/>
        </w:rPr>
        <w:t>,</w:t>
      </w:r>
      <w:r w:rsidRPr="00E325CF">
        <w:rPr>
          <w:rFonts w:ascii="Times New Roman" w:hAnsi="Times New Roman" w:cs="Times New Roman"/>
          <w:sz w:val="24"/>
          <w:szCs w:val="24"/>
        </w:rPr>
        <w:t xml:space="preserve"> and disease prevention must consider reproductive choices and causes of morbidity.</w:t>
      </w:r>
    </w:p>
    <w:p w14:paraId="3C77E879" w14:textId="144A2E5A"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Health Care Policy Influence on Genetic Testing and Screening</w:t>
      </w:r>
    </w:p>
    <w:p w14:paraId="5F1E49CA" w14:textId="296514DF"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First, genetic testing is affected by policy through insurance, referral</w:t>
      </w:r>
      <w:r w:rsidR="00E325CF">
        <w:rPr>
          <w:rFonts w:ascii="Times New Roman" w:hAnsi="Times New Roman" w:cs="Times New Roman"/>
          <w:sz w:val="24"/>
          <w:szCs w:val="24"/>
        </w:rPr>
        <w:t>,</w:t>
      </w:r>
      <w:r w:rsidRPr="00E325CF">
        <w:rPr>
          <w:rFonts w:ascii="Times New Roman" w:hAnsi="Times New Roman" w:cs="Times New Roman"/>
          <w:sz w:val="24"/>
          <w:szCs w:val="24"/>
        </w:rPr>
        <w:t xml:space="preserve"> and prenatal service </w:t>
      </w:r>
      <w:r w:rsidR="00E325CF">
        <w:rPr>
          <w:rFonts w:ascii="Times New Roman" w:hAnsi="Times New Roman" w:cs="Times New Roman"/>
          <w:sz w:val="24"/>
          <w:szCs w:val="24"/>
        </w:rPr>
        <w:t>organizations</w:t>
      </w:r>
      <w:r w:rsidRPr="00E325CF">
        <w:rPr>
          <w:rFonts w:ascii="Times New Roman" w:hAnsi="Times New Roman" w:cs="Times New Roman"/>
          <w:sz w:val="24"/>
          <w:szCs w:val="24"/>
        </w:rPr>
        <w:t>. In a cross-sectional survey of 322 prenatal patients, Black and White women showed differences in screening responses when adjusted for race, insurance, and education, as well as a decreased likelihood of having plans for genetic counselor appointments among Black patients (Prince et al., 2022). This suggests the "availability" of testing is only one factor addressed through policy and practice, and that access to genetic counseling, as well as equity and trust, require attention.</w:t>
      </w:r>
    </w:p>
    <w:p w14:paraId="63DA7B4C" w14:textId="1B901F62"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In the U.S., Affordable Care Act (ACA) coverage and Medicaid policies affect the reimbursement for and eligibility for screening, confirmatory hemoglobin tests, and cascade family screening. Likewise, mandated testing of any sort will not help if services are not coordinated. A qualitative, multi-state study showed newborn screening (NBS) follow-up for SCD largely varied between states and had no consistent quality assurance system, with variation in parental notification and linkage to subspecialty care (</w:t>
      </w:r>
      <w:proofErr w:type="spellStart"/>
      <w:r w:rsidRPr="00E325CF">
        <w:rPr>
          <w:rFonts w:ascii="Times New Roman" w:hAnsi="Times New Roman" w:cs="Times New Roman"/>
          <w:sz w:val="24"/>
          <w:szCs w:val="24"/>
        </w:rPr>
        <w:t>Galadanci</w:t>
      </w:r>
      <w:proofErr w:type="spellEnd"/>
      <w:r w:rsidRPr="00E325CF">
        <w:rPr>
          <w:rFonts w:ascii="Times New Roman" w:hAnsi="Times New Roman" w:cs="Times New Roman"/>
          <w:sz w:val="24"/>
          <w:szCs w:val="24"/>
        </w:rPr>
        <w:t xml:space="preserve"> et al., 2024). Therefore, the policy benefits of universal NBS relate to implementation mechanisms (particularly time, responsibility, and financing for care coordination) rather than solely </w:t>
      </w:r>
      <w:r w:rsidR="00E325CF">
        <w:rPr>
          <w:rFonts w:ascii="Times New Roman" w:hAnsi="Times New Roman" w:cs="Times New Roman"/>
          <w:sz w:val="24"/>
          <w:szCs w:val="24"/>
        </w:rPr>
        <w:t>to</w:t>
      </w:r>
      <w:r w:rsidRPr="00E325CF">
        <w:rPr>
          <w:rFonts w:ascii="Times New Roman" w:hAnsi="Times New Roman" w:cs="Times New Roman"/>
          <w:sz w:val="24"/>
          <w:szCs w:val="24"/>
        </w:rPr>
        <w:t xml:space="preserve"> </w:t>
      </w:r>
      <w:proofErr w:type="gramStart"/>
      <w:r w:rsidRPr="00E325CF">
        <w:rPr>
          <w:rFonts w:ascii="Times New Roman" w:hAnsi="Times New Roman" w:cs="Times New Roman"/>
          <w:sz w:val="24"/>
          <w:szCs w:val="24"/>
        </w:rPr>
        <w:t>the biochemistry</w:t>
      </w:r>
      <w:proofErr w:type="gramEnd"/>
      <w:r w:rsidRPr="00E325CF">
        <w:rPr>
          <w:rFonts w:ascii="Times New Roman" w:hAnsi="Times New Roman" w:cs="Times New Roman"/>
          <w:sz w:val="24"/>
          <w:szCs w:val="24"/>
        </w:rPr>
        <w:t>.</w:t>
      </w:r>
    </w:p>
    <w:p w14:paraId="4FB8FECE" w14:textId="4527F2A1" w:rsidR="00682869" w:rsidRPr="00E325CF" w:rsidRDefault="00682869" w:rsidP="00E325CF">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lastRenderedPageBreak/>
        <w:t>And policy determines access to downstream screening and care via formulary, prior authorization, and coverage reminders. With claims data from Tennessee Medicaid, Medicare</w:t>
      </w:r>
      <w:r w:rsidR="00E325CF">
        <w:rPr>
          <w:rFonts w:ascii="Times New Roman" w:hAnsi="Times New Roman" w:cs="Times New Roman"/>
          <w:sz w:val="24"/>
          <w:szCs w:val="24"/>
        </w:rPr>
        <w:t>,</w:t>
      </w:r>
      <w:r w:rsidRPr="00E325CF">
        <w:rPr>
          <w:rFonts w:ascii="Times New Roman" w:hAnsi="Times New Roman" w:cs="Times New Roman"/>
          <w:sz w:val="24"/>
          <w:szCs w:val="24"/>
        </w:rPr>
        <w:t xml:space="preserve"> and a large commercial insurer, low rates of hydroxyurea dispensing were across payers and were linked to acute care use (Mukhopadhyay et al., 2025). Since hydroxyurea is critical for complication prevention, the low usage suggests a failure of the system where the interplay of payer policy, provider capacity</w:t>
      </w:r>
      <w:r w:rsidR="00E325CF">
        <w:rPr>
          <w:rFonts w:ascii="Times New Roman" w:hAnsi="Times New Roman" w:cs="Times New Roman"/>
          <w:sz w:val="24"/>
          <w:szCs w:val="24"/>
        </w:rPr>
        <w:t>,</w:t>
      </w:r>
      <w:r w:rsidRPr="00E325CF">
        <w:rPr>
          <w:rFonts w:ascii="Times New Roman" w:hAnsi="Times New Roman" w:cs="Times New Roman"/>
          <w:sz w:val="24"/>
          <w:szCs w:val="24"/>
        </w:rPr>
        <w:t xml:space="preserve"> and patient factors results in sub-optimal disease management.</w:t>
      </w:r>
    </w:p>
    <w:p w14:paraId="071409C5" w14:textId="38B665D7"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Societal, Cultural, and Environmental Influences</w:t>
      </w:r>
    </w:p>
    <w:p w14:paraId="4C557386" w14:textId="43839444"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In addition to formal policy, social and cultural meaning affect the uptake of genetic services, as well as feelings of safety in health systems. In a qualitative study of three African countries, participants described stigma associated with SCD that involved negative labelling and discrimination, degrading quality of life (</w:t>
      </w:r>
      <w:proofErr w:type="spellStart"/>
      <w:r w:rsidRPr="00E325CF">
        <w:rPr>
          <w:rFonts w:ascii="Times New Roman" w:hAnsi="Times New Roman" w:cs="Times New Roman"/>
          <w:sz w:val="24"/>
          <w:szCs w:val="24"/>
        </w:rPr>
        <w:t>Munung</w:t>
      </w:r>
      <w:proofErr w:type="spellEnd"/>
      <w:r w:rsidRPr="00E325CF">
        <w:rPr>
          <w:rFonts w:ascii="Times New Roman" w:hAnsi="Times New Roman" w:cs="Times New Roman"/>
          <w:sz w:val="24"/>
          <w:szCs w:val="24"/>
        </w:rPr>
        <w:t xml:space="preserve"> et al., 2024). Even though biology is stable, stigma can act as a type of exposure, by limiting disclosure, stressing the body, and delaying help-seeking, which then has a negative impact on health outcomes (Theofilos et al., 2022). Moreover, environmental conditions also shape morbidity by interacting with the physiology of sickling. Temperature, dehydration, and infections trigger occlusive crises (and therefore, the built environment, occupational risks, and environmental adversity become important disease factors). Consequently, the "cause" of poor outcomes in SCD is often a gene (or genotype)</w:t>
      </w:r>
      <w:r w:rsidR="00E325CF">
        <w:rPr>
          <w:rFonts w:ascii="Times New Roman" w:hAnsi="Times New Roman" w:cs="Times New Roman"/>
          <w:sz w:val="24"/>
          <w:szCs w:val="24"/>
        </w:rPr>
        <w:t xml:space="preserve">, </w:t>
      </w:r>
      <w:r w:rsidRPr="00E325CF">
        <w:rPr>
          <w:rFonts w:ascii="Times New Roman" w:hAnsi="Times New Roman" w:cs="Times New Roman"/>
          <w:sz w:val="24"/>
          <w:szCs w:val="24"/>
        </w:rPr>
        <w:t>environment (or environmental trigger)</w:t>
      </w:r>
      <w:r w:rsidR="00E325CF">
        <w:rPr>
          <w:rFonts w:ascii="Times New Roman" w:hAnsi="Times New Roman" w:cs="Times New Roman"/>
          <w:sz w:val="24"/>
          <w:szCs w:val="24"/>
        </w:rPr>
        <w:t xml:space="preserve">, </w:t>
      </w:r>
      <w:r w:rsidRPr="00E325CF">
        <w:rPr>
          <w:rFonts w:ascii="Times New Roman" w:hAnsi="Times New Roman" w:cs="Times New Roman"/>
          <w:sz w:val="24"/>
          <w:szCs w:val="24"/>
        </w:rPr>
        <w:t>system (or systems response) interaction whereby social position and class determine access to triggers and mitigation strategies.</w:t>
      </w:r>
    </w:p>
    <w:p w14:paraId="053DBAFE" w14:textId="457ED7A2"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Patient Process: Screening to Monitoring, Including Nutrition</w:t>
      </w:r>
    </w:p>
    <w:p w14:paraId="2C3B578D" w14:textId="4B3B3D17"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 xml:space="preserve">From the patient's point of view, this can start with awareness of carrier status or antenatal screening and lead on to diagnostic testing and then to comprehensive care after NBS. But the journey is influenced by the clarity of support for prevention, diagnostics, </w:t>
      </w:r>
      <w:r w:rsidRPr="00E325CF">
        <w:rPr>
          <w:rFonts w:ascii="Times New Roman" w:hAnsi="Times New Roman" w:cs="Times New Roman"/>
          <w:sz w:val="24"/>
          <w:szCs w:val="24"/>
        </w:rPr>
        <w:lastRenderedPageBreak/>
        <w:t>prognostics, and treatment. For instance, prompt linkage facilitates prophylaxis and regular screening for disease severity, organ damage, and stroke risk, while a lag in linkage contributes to preventable complications.</w:t>
      </w:r>
    </w:p>
    <w:p w14:paraId="7B9A7551" w14:textId="1E382AAF"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Nutrition screening and counseling are recommended as nutrition impacts inflammation, bone integrity, and crisis recovery. A study of children and adolescents with SCD receiving monthly high-dose vitamin D3 supplements found improved vitamin D status and improved function and quality of life (Hanna et al., 2024). These findings demonstrate the value of screening for micronutrient deficiencies, tailored supplementation programs, and nutrition counselling regarding hydration, nutrition balance, and food insecurity in routine care for SCD.</w:t>
      </w:r>
    </w:p>
    <w:p w14:paraId="6F938DFF" w14:textId="53FDDFC8"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Moreover, health advice needs to be linked to treatment choice and assessment. For example, patients may be offered disease-modifying therapies (e.g., hydroxyurea) depending on their risk, and treatment effectiveness may be assessed via clinical events (pain crises, hospitalizations), laboratory indices, and patient-reported outcomes. If barriers to adherence are expected - such as transportation or insurance changes - caregivers should plan for support, navigation, and shared decision-making to help avoid foreseen therapy lapses.</w:t>
      </w:r>
    </w:p>
    <w:p w14:paraId="0ABB6D4C" w14:textId="25A883BE"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Preventative Measures and Potential Population Impact</w:t>
      </w:r>
    </w:p>
    <w:p w14:paraId="535CA140" w14:textId="34882B46"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Finally, prevention in SCD can take place in two ways: preventing the birth of new affected babies through reproductive and carrier interventions and preventing complications of SCD disease through early and continuing care. Preconception and antenatal carrier screening with genetic counselling can facilitate informed reproductive decision making and may ultimately lead to a decrease in incidence if carefully implemented and never coercive. Concurrently, improved NBS follow-up and adherence to prophylaxis and early treatment with disease-modifying therapy can change the outcome by preventing morbidity and organ injury early in the life course.</w:t>
      </w:r>
    </w:p>
    <w:p w14:paraId="23A2E746" w14:textId="2F3AF0BA"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lastRenderedPageBreak/>
        <w:t xml:space="preserve">If these practice-related preventive measures are expanded, prevalence may initially increase due to increased survival, which increases the number of </w:t>
      </w:r>
      <w:proofErr w:type="gramStart"/>
      <w:r w:rsidRPr="00E325CF">
        <w:rPr>
          <w:rFonts w:ascii="Times New Roman" w:hAnsi="Times New Roman" w:cs="Times New Roman"/>
          <w:sz w:val="24"/>
          <w:szCs w:val="24"/>
        </w:rPr>
        <w:t>persons</w:t>
      </w:r>
      <w:proofErr w:type="gramEnd"/>
      <w:r w:rsidRPr="00E325CF">
        <w:rPr>
          <w:rFonts w:ascii="Times New Roman" w:hAnsi="Times New Roman" w:cs="Times New Roman"/>
          <w:sz w:val="24"/>
          <w:szCs w:val="24"/>
        </w:rPr>
        <w:t xml:space="preserve"> living with SCD, despite decreasing incidence; this is a demographic expectation that can be factored into forecasting workforce and funding. Similarly, testing prevalence would increase with normali</w:t>
      </w:r>
      <w:r w:rsidR="00E325CF">
        <w:rPr>
          <w:rFonts w:ascii="Times New Roman" w:hAnsi="Times New Roman" w:cs="Times New Roman"/>
          <w:sz w:val="24"/>
          <w:szCs w:val="24"/>
        </w:rPr>
        <w:t>z</w:t>
      </w:r>
      <w:r w:rsidRPr="00E325CF">
        <w:rPr>
          <w:rFonts w:ascii="Times New Roman" w:hAnsi="Times New Roman" w:cs="Times New Roman"/>
          <w:sz w:val="24"/>
          <w:szCs w:val="24"/>
        </w:rPr>
        <w:t xml:space="preserve">ation of screening and genetic counselling, </w:t>
      </w:r>
      <w:proofErr w:type="gramStart"/>
      <w:r w:rsidRPr="00E325CF">
        <w:rPr>
          <w:rFonts w:ascii="Times New Roman" w:hAnsi="Times New Roman" w:cs="Times New Roman"/>
          <w:sz w:val="24"/>
          <w:szCs w:val="24"/>
        </w:rPr>
        <w:t>with care</w:t>
      </w:r>
      <w:proofErr w:type="gramEnd"/>
      <w:r w:rsidRPr="00E325CF">
        <w:rPr>
          <w:rFonts w:ascii="Times New Roman" w:hAnsi="Times New Roman" w:cs="Times New Roman"/>
          <w:sz w:val="24"/>
          <w:szCs w:val="24"/>
        </w:rPr>
        <w:t xml:space="preserve"> shifting from crisis-focused care to ongoing disease modification and monitoring. Ultimately, the best prognosis occurs from prevention, which is defined broadly as a networked system that prevents unnecessary exposure to triggers and facilitates evidence-informed care.</w:t>
      </w:r>
    </w:p>
    <w:p w14:paraId="3B8F25CC" w14:textId="77777777"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Conclusion</w:t>
      </w:r>
    </w:p>
    <w:p w14:paraId="031A9375" w14:textId="2AFCC807" w:rsidR="00344935"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 xml:space="preserve">To conclude, it's not just genes that determine patient outcomes for SCD: policy shapes testing and follow-up, social factors shape trust and stigma, and environment shapes exposure to triggers. The most compelling case for </w:t>
      </w:r>
      <w:r w:rsidR="00E325CF" w:rsidRPr="00E325CF">
        <w:rPr>
          <w:rFonts w:ascii="Times New Roman" w:hAnsi="Times New Roman" w:cs="Times New Roman"/>
          <w:sz w:val="24"/>
          <w:szCs w:val="24"/>
        </w:rPr>
        <w:t>SCD</w:t>
      </w:r>
      <w:r w:rsidRPr="00E325CF">
        <w:rPr>
          <w:rFonts w:ascii="Times New Roman" w:hAnsi="Times New Roman" w:cs="Times New Roman"/>
          <w:sz w:val="24"/>
          <w:szCs w:val="24"/>
        </w:rPr>
        <w:t xml:space="preserve"> care is therefore an </w:t>
      </w:r>
      <w:proofErr w:type="gramStart"/>
      <w:r w:rsidRPr="00E325CF">
        <w:rPr>
          <w:rFonts w:ascii="Times New Roman" w:hAnsi="Times New Roman" w:cs="Times New Roman"/>
          <w:sz w:val="24"/>
          <w:szCs w:val="24"/>
        </w:rPr>
        <w:t>external-factors</w:t>
      </w:r>
      <w:proofErr w:type="gramEnd"/>
      <w:r w:rsidRPr="00E325CF">
        <w:rPr>
          <w:rFonts w:ascii="Times New Roman" w:hAnsi="Times New Roman" w:cs="Times New Roman"/>
          <w:sz w:val="24"/>
          <w:szCs w:val="24"/>
        </w:rPr>
        <w:t xml:space="preserve"> approach that harmonizes screening mandates with high-quality follow-up, ensures equitable testing and counselling, and integrates nutritional and preventive counselling into the clinical pathway. By recognizing external factors as variables, clinicians and policymakers can minimize preventable suffering and make improvements in SCD care accessible to the most-affected patients</w:t>
      </w:r>
      <w:r w:rsidR="00344935" w:rsidRPr="00E325CF">
        <w:rPr>
          <w:rFonts w:ascii="Times New Roman" w:hAnsi="Times New Roman" w:cs="Times New Roman"/>
          <w:sz w:val="24"/>
          <w:szCs w:val="24"/>
        </w:rPr>
        <w:t>.</w:t>
      </w:r>
    </w:p>
    <w:p w14:paraId="2D97AE85" w14:textId="0C8F4BD0" w:rsidR="00344935" w:rsidRPr="00E325CF" w:rsidRDefault="00344935" w:rsidP="00682869">
      <w:pPr>
        <w:contextualSpacing/>
        <w:rPr>
          <w:rFonts w:ascii="Times New Roman" w:hAnsi="Times New Roman" w:cs="Times New Roman"/>
          <w:sz w:val="24"/>
          <w:szCs w:val="24"/>
        </w:rPr>
      </w:pPr>
    </w:p>
    <w:p w14:paraId="1CA7B3C1" w14:textId="77777777" w:rsidR="00B9773F" w:rsidRPr="00E325CF" w:rsidRDefault="00B9773F" w:rsidP="00682869">
      <w:pPr>
        <w:contextualSpacing/>
        <w:rPr>
          <w:rFonts w:ascii="Times New Roman" w:hAnsi="Times New Roman" w:cs="Times New Roman"/>
          <w:b/>
          <w:bCs/>
          <w:sz w:val="24"/>
          <w:szCs w:val="24"/>
        </w:rPr>
      </w:pPr>
      <w:r w:rsidRPr="00E325CF">
        <w:rPr>
          <w:rFonts w:ascii="Times New Roman" w:hAnsi="Times New Roman" w:cs="Times New Roman"/>
          <w:b/>
          <w:bCs/>
          <w:sz w:val="24"/>
          <w:szCs w:val="24"/>
        </w:rPr>
        <w:br w:type="page"/>
      </w:r>
    </w:p>
    <w:p w14:paraId="2F0EF4F1" w14:textId="18EA0C4B" w:rsidR="00344935" w:rsidRPr="00E325CF" w:rsidRDefault="00344935" w:rsidP="00E325CF">
      <w:pPr>
        <w:contextualSpacing/>
        <w:jc w:val="center"/>
        <w:rPr>
          <w:rFonts w:ascii="Times New Roman" w:hAnsi="Times New Roman" w:cs="Times New Roman"/>
          <w:b/>
          <w:bCs/>
          <w:sz w:val="24"/>
          <w:szCs w:val="24"/>
        </w:rPr>
      </w:pPr>
      <w:r w:rsidRPr="00E325CF">
        <w:rPr>
          <w:rFonts w:ascii="Times New Roman" w:hAnsi="Times New Roman" w:cs="Times New Roman"/>
          <w:b/>
          <w:bCs/>
          <w:sz w:val="24"/>
          <w:szCs w:val="24"/>
        </w:rPr>
        <w:lastRenderedPageBreak/>
        <w:t>References</w:t>
      </w:r>
    </w:p>
    <w:p w14:paraId="6BD79D1C" w14:textId="77777777" w:rsidR="00344935" w:rsidRPr="00E325CF" w:rsidRDefault="00344935" w:rsidP="00E325CF">
      <w:pPr>
        <w:ind w:left="720" w:hanging="720"/>
        <w:contextualSpacing/>
        <w:rPr>
          <w:rFonts w:ascii="Times New Roman" w:hAnsi="Times New Roman" w:cs="Times New Roman"/>
          <w:sz w:val="24"/>
          <w:szCs w:val="24"/>
        </w:rPr>
      </w:pPr>
      <w:proofErr w:type="spellStart"/>
      <w:r w:rsidRPr="00E325CF">
        <w:rPr>
          <w:rFonts w:ascii="Times New Roman" w:hAnsi="Times New Roman" w:cs="Times New Roman"/>
          <w:sz w:val="24"/>
          <w:szCs w:val="24"/>
        </w:rPr>
        <w:t>Galadanci</w:t>
      </w:r>
      <w:proofErr w:type="spellEnd"/>
      <w:r w:rsidRPr="00E325CF">
        <w:rPr>
          <w:rFonts w:ascii="Times New Roman" w:hAnsi="Times New Roman" w:cs="Times New Roman"/>
          <w:sz w:val="24"/>
          <w:szCs w:val="24"/>
        </w:rPr>
        <w:t xml:space="preserve">, N., Phillips, S., Schlenz, A., Ivankova, N., &amp; Kanter, J. (2024). Current methods of newborn screening follow-up for sickle cell disease are highly variable and without quality assurance: Results from the ENHANCE study. </w:t>
      </w:r>
      <w:r w:rsidRPr="00E325CF">
        <w:rPr>
          <w:rFonts w:ascii="Times New Roman" w:hAnsi="Times New Roman" w:cs="Times New Roman"/>
          <w:i/>
          <w:iCs/>
          <w:sz w:val="24"/>
          <w:szCs w:val="24"/>
        </w:rPr>
        <w:t>International Journal of Neonatal Screening, 10</w:t>
      </w:r>
      <w:r w:rsidRPr="00E325CF">
        <w:rPr>
          <w:rFonts w:ascii="Times New Roman" w:hAnsi="Times New Roman" w:cs="Times New Roman"/>
          <w:sz w:val="24"/>
          <w:szCs w:val="24"/>
        </w:rPr>
        <w:t xml:space="preserve">(1), 22. </w:t>
      </w:r>
      <w:hyperlink r:id="rId6" w:history="1">
        <w:r w:rsidRPr="00E325CF">
          <w:rPr>
            <w:rStyle w:val="Hyperlink"/>
            <w:rFonts w:ascii="Times New Roman" w:hAnsi="Times New Roman" w:cs="Times New Roman"/>
            <w:sz w:val="24"/>
            <w:szCs w:val="24"/>
          </w:rPr>
          <w:t>https://doi.org/10.3390/ijns10010022</w:t>
        </w:r>
      </w:hyperlink>
    </w:p>
    <w:p w14:paraId="49B33A06" w14:textId="77777777" w:rsidR="00344935" w:rsidRPr="00E325CF" w:rsidRDefault="00344935" w:rsidP="00E325CF">
      <w:pPr>
        <w:ind w:left="720" w:hanging="720"/>
        <w:contextualSpacing/>
        <w:rPr>
          <w:rFonts w:ascii="Times New Roman" w:hAnsi="Times New Roman" w:cs="Times New Roman"/>
          <w:sz w:val="24"/>
          <w:szCs w:val="24"/>
        </w:rPr>
      </w:pPr>
      <w:r w:rsidRPr="00E325CF">
        <w:rPr>
          <w:rFonts w:ascii="Times New Roman" w:hAnsi="Times New Roman" w:cs="Times New Roman"/>
          <w:sz w:val="24"/>
          <w:szCs w:val="24"/>
        </w:rPr>
        <w:t xml:space="preserve">Hanna, D., Kamal, D. E., Fawzy, H. M., &amp; Abd Elkhalek, R. (2024). Safety and efficacy of monthly high-dose vitamin D3 supplementation in children and adolescents with sickle cell disease. </w:t>
      </w:r>
      <w:r w:rsidRPr="00E325CF">
        <w:rPr>
          <w:rFonts w:ascii="Times New Roman" w:hAnsi="Times New Roman" w:cs="Times New Roman"/>
          <w:i/>
          <w:iCs/>
          <w:sz w:val="24"/>
          <w:szCs w:val="24"/>
        </w:rPr>
        <w:t>European Journal of Pediatrics, 183</w:t>
      </w:r>
      <w:r w:rsidRPr="00E325CF">
        <w:rPr>
          <w:rFonts w:ascii="Times New Roman" w:hAnsi="Times New Roman" w:cs="Times New Roman"/>
          <w:sz w:val="24"/>
          <w:szCs w:val="24"/>
        </w:rPr>
        <w:t xml:space="preserve">, 3347–3357. </w:t>
      </w:r>
      <w:hyperlink r:id="rId7" w:history="1">
        <w:r w:rsidRPr="00E325CF">
          <w:rPr>
            <w:rStyle w:val="Hyperlink"/>
            <w:rFonts w:ascii="Times New Roman" w:hAnsi="Times New Roman" w:cs="Times New Roman"/>
            <w:sz w:val="24"/>
            <w:szCs w:val="24"/>
          </w:rPr>
          <w:t>https://doi.org/10.1007/s00431-024-05572-w</w:t>
        </w:r>
      </w:hyperlink>
    </w:p>
    <w:p w14:paraId="7BC5E5F2" w14:textId="77777777" w:rsidR="00344935" w:rsidRPr="00E325CF" w:rsidRDefault="00344935" w:rsidP="00E325CF">
      <w:pPr>
        <w:ind w:left="720" w:hanging="720"/>
        <w:contextualSpacing/>
        <w:rPr>
          <w:rFonts w:ascii="Times New Roman" w:hAnsi="Times New Roman" w:cs="Times New Roman"/>
          <w:sz w:val="24"/>
          <w:szCs w:val="24"/>
        </w:rPr>
      </w:pPr>
      <w:r w:rsidRPr="00E325CF">
        <w:rPr>
          <w:rFonts w:ascii="Times New Roman" w:hAnsi="Times New Roman" w:cs="Times New Roman"/>
          <w:sz w:val="24"/>
          <w:szCs w:val="24"/>
        </w:rPr>
        <w:t xml:space="preserve">Mukhopadhyay, A., Smeltzer, M. P., Dudley, J., Badawy, S. M., Mathias, J. G., Plaxco, A. P., Ray, M. A., Wiese, A. D., Stevens, W. I., Gurney, J. G., Nwosu, C., Porter, J. S., </w:t>
      </w:r>
      <w:proofErr w:type="spellStart"/>
      <w:r w:rsidRPr="00E325CF">
        <w:rPr>
          <w:rFonts w:ascii="Times New Roman" w:hAnsi="Times New Roman" w:cs="Times New Roman"/>
          <w:sz w:val="24"/>
          <w:szCs w:val="24"/>
        </w:rPr>
        <w:t>Klesges</w:t>
      </w:r>
      <w:proofErr w:type="spellEnd"/>
      <w:r w:rsidRPr="00E325CF">
        <w:rPr>
          <w:rFonts w:ascii="Times New Roman" w:hAnsi="Times New Roman" w:cs="Times New Roman"/>
          <w:sz w:val="24"/>
          <w:szCs w:val="24"/>
        </w:rPr>
        <w:t xml:space="preserve">, L. M., Hankins, J. S., &amp; Cooper, W. O. (2025). Hydroxyurea utilization among individuals with sickle cell disease in Tennessee: A pooled analysis of claims data. </w:t>
      </w:r>
      <w:r w:rsidRPr="00E325CF">
        <w:rPr>
          <w:rFonts w:ascii="Times New Roman" w:hAnsi="Times New Roman" w:cs="Times New Roman"/>
          <w:i/>
          <w:iCs/>
          <w:sz w:val="24"/>
          <w:szCs w:val="24"/>
        </w:rPr>
        <w:t>Frontiers in Pharmacology, 16</w:t>
      </w:r>
      <w:r w:rsidRPr="00E325CF">
        <w:rPr>
          <w:rFonts w:ascii="Times New Roman" w:hAnsi="Times New Roman" w:cs="Times New Roman"/>
          <w:sz w:val="24"/>
          <w:szCs w:val="24"/>
        </w:rPr>
        <w:t xml:space="preserve">, 1693126. </w:t>
      </w:r>
      <w:hyperlink r:id="rId8" w:history="1">
        <w:r w:rsidRPr="00E325CF">
          <w:rPr>
            <w:rStyle w:val="Hyperlink"/>
            <w:rFonts w:ascii="Times New Roman" w:hAnsi="Times New Roman" w:cs="Times New Roman"/>
            <w:sz w:val="24"/>
            <w:szCs w:val="24"/>
          </w:rPr>
          <w:t>https://doi.org/10.3389/fphar.2025.1693126</w:t>
        </w:r>
      </w:hyperlink>
    </w:p>
    <w:p w14:paraId="72137916" w14:textId="77777777" w:rsidR="00344935" w:rsidRPr="00E325CF" w:rsidRDefault="00344935" w:rsidP="00E325CF">
      <w:pPr>
        <w:ind w:left="720" w:hanging="720"/>
        <w:contextualSpacing/>
        <w:rPr>
          <w:rFonts w:ascii="Times New Roman" w:hAnsi="Times New Roman" w:cs="Times New Roman"/>
          <w:sz w:val="24"/>
          <w:szCs w:val="24"/>
        </w:rPr>
      </w:pPr>
      <w:proofErr w:type="spellStart"/>
      <w:r w:rsidRPr="00E325CF">
        <w:rPr>
          <w:rFonts w:ascii="Times New Roman" w:hAnsi="Times New Roman" w:cs="Times New Roman"/>
          <w:sz w:val="24"/>
          <w:szCs w:val="24"/>
        </w:rPr>
        <w:t>Munung</w:t>
      </w:r>
      <w:proofErr w:type="spellEnd"/>
      <w:r w:rsidRPr="00E325CF">
        <w:rPr>
          <w:rFonts w:ascii="Times New Roman" w:hAnsi="Times New Roman" w:cs="Times New Roman"/>
          <w:sz w:val="24"/>
          <w:szCs w:val="24"/>
        </w:rPr>
        <w:t xml:space="preserve">, N. S., Treadwell, M., Kamga, K. K., Dennis-Antwi, J., Anie, K., </w:t>
      </w:r>
      <w:proofErr w:type="spellStart"/>
      <w:r w:rsidRPr="00E325CF">
        <w:rPr>
          <w:rFonts w:ascii="Times New Roman" w:hAnsi="Times New Roman" w:cs="Times New Roman"/>
          <w:sz w:val="24"/>
          <w:szCs w:val="24"/>
        </w:rPr>
        <w:t>Bukini</w:t>
      </w:r>
      <w:proofErr w:type="spellEnd"/>
      <w:r w:rsidRPr="00E325CF">
        <w:rPr>
          <w:rFonts w:ascii="Times New Roman" w:hAnsi="Times New Roman" w:cs="Times New Roman"/>
          <w:sz w:val="24"/>
          <w:szCs w:val="24"/>
        </w:rPr>
        <w:t xml:space="preserve">, D., Makani, J., &amp; </w:t>
      </w:r>
      <w:proofErr w:type="spellStart"/>
      <w:r w:rsidRPr="00E325CF">
        <w:rPr>
          <w:rFonts w:ascii="Times New Roman" w:hAnsi="Times New Roman" w:cs="Times New Roman"/>
          <w:sz w:val="24"/>
          <w:szCs w:val="24"/>
        </w:rPr>
        <w:t>Wonkam</w:t>
      </w:r>
      <w:proofErr w:type="spellEnd"/>
      <w:r w:rsidRPr="00E325CF">
        <w:rPr>
          <w:rFonts w:ascii="Times New Roman" w:hAnsi="Times New Roman" w:cs="Times New Roman"/>
          <w:sz w:val="24"/>
          <w:szCs w:val="24"/>
        </w:rPr>
        <w:t xml:space="preserve">, A. (2024). Caught between pity, explicit bias, and discrimination: A qualitative study on the impact of stigma on the quality of life of persons living with sickle cell disease in three African countries. </w:t>
      </w:r>
      <w:r w:rsidRPr="00E325CF">
        <w:rPr>
          <w:rFonts w:ascii="Times New Roman" w:hAnsi="Times New Roman" w:cs="Times New Roman"/>
          <w:i/>
          <w:iCs/>
          <w:sz w:val="24"/>
          <w:szCs w:val="24"/>
        </w:rPr>
        <w:t>Quality of Life Research, 33</w:t>
      </w:r>
      <w:r w:rsidRPr="00E325CF">
        <w:rPr>
          <w:rFonts w:ascii="Times New Roman" w:hAnsi="Times New Roman" w:cs="Times New Roman"/>
          <w:sz w:val="24"/>
          <w:szCs w:val="24"/>
        </w:rPr>
        <w:t xml:space="preserve">, 423–432. </w:t>
      </w:r>
      <w:hyperlink r:id="rId9" w:history="1">
        <w:r w:rsidRPr="00E325CF">
          <w:rPr>
            <w:rStyle w:val="Hyperlink"/>
            <w:rFonts w:ascii="Times New Roman" w:hAnsi="Times New Roman" w:cs="Times New Roman"/>
            <w:sz w:val="24"/>
            <w:szCs w:val="24"/>
          </w:rPr>
          <w:t>https://doi.org/10.1007/s11136-023-03533-8</w:t>
        </w:r>
      </w:hyperlink>
    </w:p>
    <w:p w14:paraId="70192AB7" w14:textId="77777777" w:rsidR="00344935" w:rsidRPr="00E325CF" w:rsidRDefault="00344935" w:rsidP="00E325CF">
      <w:pPr>
        <w:ind w:left="720" w:hanging="720"/>
        <w:contextualSpacing/>
        <w:rPr>
          <w:rFonts w:ascii="Times New Roman" w:hAnsi="Times New Roman" w:cs="Times New Roman"/>
          <w:sz w:val="24"/>
          <w:szCs w:val="24"/>
        </w:rPr>
      </w:pPr>
      <w:r w:rsidRPr="00E325CF">
        <w:rPr>
          <w:rFonts w:ascii="Times New Roman" w:hAnsi="Times New Roman" w:cs="Times New Roman"/>
          <w:sz w:val="24"/>
          <w:szCs w:val="24"/>
        </w:rPr>
        <w:t>Prince, A., Cruz-</w:t>
      </w:r>
      <w:proofErr w:type="spellStart"/>
      <w:r w:rsidRPr="00E325CF">
        <w:rPr>
          <w:rFonts w:ascii="Times New Roman" w:hAnsi="Times New Roman" w:cs="Times New Roman"/>
          <w:sz w:val="24"/>
          <w:szCs w:val="24"/>
        </w:rPr>
        <w:t>Bendezú</w:t>
      </w:r>
      <w:proofErr w:type="spellEnd"/>
      <w:r w:rsidRPr="00E325CF">
        <w:rPr>
          <w:rFonts w:ascii="Times New Roman" w:hAnsi="Times New Roman" w:cs="Times New Roman"/>
          <w:sz w:val="24"/>
          <w:szCs w:val="24"/>
        </w:rPr>
        <w:t xml:space="preserve">, A., </w:t>
      </w:r>
      <w:proofErr w:type="spellStart"/>
      <w:r w:rsidRPr="00E325CF">
        <w:rPr>
          <w:rFonts w:ascii="Times New Roman" w:hAnsi="Times New Roman" w:cs="Times New Roman"/>
          <w:sz w:val="24"/>
          <w:szCs w:val="24"/>
        </w:rPr>
        <w:t>Gunawansa</w:t>
      </w:r>
      <w:proofErr w:type="spellEnd"/>
      <w:r w:rsidRPr="00E325CF">
        <w:rPr>
          <w:rFonts w:ascii="Times New Roman" w:hAnsi="Times New Roman" w:cs="Times New Roman"/>
          <w:sz w:val="24"/>
          <w:szCs w:val="24"/>
        </w:rPr>
        <w:t xml:space="preserve">, N., Wade, J., Coleman-Cowger, V. H., Schulkin, J., &amp; Macri, C. J. (2022). Practices of sickle cell disease genetic screening and testing in the prenatal population. </w:t>
      </w:r>
      <w:r w:rsidRPr="00E325CF">
        <w:rPr>
          <w:rFonts w:ascii="Times New Roman" w:hAnsi="Times New Roman" w:cs="Times New Roman"/>
          <w:i/>
          <w:iCs/>
          <w:sz w:val="24"/>
          <w:szCs w:val="24"/>
        </w:rPr>
        <w:t>Journal of Neonatal-Perinatal Medicine, 15</w:t>
      </w:r>
      <w:r w:rsidRPr="00E325CF">
        <w:rPr>
          <w:rFonts w:ascii="Times New Roman" w:hAnsi="Times New Roman" w:cs="Times New Roman"/>
          <w:sz w:val="24"/>
          <w:szCs w:val="24"/>
        </w:rPr>
        <w:t xml:space="preserve">(4), 745–751. </w:t>
      </w:r>
      <w:hyperlink r:id="rId10" w:history="1">
        <w:r w:rsidRPr="00E325CF">
          <w:rPr>
            <w:rStyle w:val="Hyperlink"/>
            <w:rFonts w:ascii="Times New Roman" w:hAnsi="Times New Roman" w:cs="Times New Roman"/>
            <w:sz w:val="24"/>
            <w:szCs w:val="24"/>
          </w:rPr>
          <w:t>https://doi.org/10.3233/NPM-221016</w:t>
        </w:r>
      </w:hyperlink>
    </w:p>
    <w:p w14:paraId="4C363AF3" w14:textId="77777777" w:rsidR="007B6058" w:rsidRPr="00E325CF" w:rsidRDefault="007B6058" w:rsidP="00682869">
      <w:pPr>
        <w:contextualSpacing/>
        <w:rPr>
          <w:rFonts w:ascii="Times New Roman" w:hAnsi="Times New Roman" w:cs="Times New Roman"/>
          <w:sz w:val="24"/>
          <w:szCs w:val="24"/>
        </w:rPr>
      </w:pPr>
    </w:p>
    <w:sectPr w:rsidR="007B6058" w:rsidRPr="00E325C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E81B" w14:textId="77777777" w:rsidR="00E7505A" w:rsidRDefault="00E7505A" w:rsidP="004A2197">
      <w:pPr>
        <w:spacing w:line="240" w:lineRule="auto"/>
      </w:pPr>
      <w:r>
        <w:separator/>
      </w:r>
    </w:p>
  </w:endnote>
  <w:endnote w:type="continuationSeparator" w:id="0">
    <w:p w14:paraId="1A1E5164" w14:textId="77777777" w:rsidR="00E7505A" w:rsidRDefault="00E7505A" w:rsidP="004A2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8B25" w14:textId="77777777" w:rsidR="00E7505A" w:rsidRDefault="00E7505A" w:rsidP="004A2197">
      <w:pPr>
        <w:spacing w:line="240" w:lineRule="auto"/>
      </w:pPr>
      <w:r>
        <w:separator/>
      </w:r>
    </w:p>
  </w:footnote>
  <w:footnote w:type="continuationSeparator" w:id="0">
    <w:p w14:paraId="0BD60B4E" w14:textId="77777777" w:rsidR="00E7505A" w:rsidRDefault="00E7505A" w:rsidP="004A21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65862842"/>
      <w:docPartObj>
        <w:docPartGallery w:val="Page Numbers (Top of Page)"/>
        <w:docPartUnique/>
      </w:docPartObj>
    </w:sdtPr>
    <w:sdtEndPr>
      <w:rPr>
        <w:noProof/>
      </w:rPr>
    </w:sdtEndPr>
    <w:sdtContent>
      <w:p w14:paraId="3D261F72" w14:textId="2E618360" w:rsidR="004A2197" w:rsidRPr="004A2197" w:rsidRDefault="004A2197">
        <w:pPr>
          <w:pStyle w:val="Header"/>
          <w:jc w:val="right"/>
          <w:rPr>
            <w:rFonts w:ascii="Times New Roman" w:hAnsi="Times New Roman" w:cs="Times New Roman"/>
            <w:sz w:val="24"/>
            <w:szCs w:val="24"/>
          </w:rPr>
        </w:pPr>
        <w:r w:rsidRPr="004A2197">
          <w:rPr>
            <w:rFonts w:ascii="Times New Roman" w:hAnsi="Times New Roman" w:cs="Times New Roman"/>
            <w:sz w:val="24"/>
            <w:szCs w:val="24"/>
          </w:rPr>
          <w:fldChar w:fldCharType="begin"/>
        </w:r>
        <w:r w:rsidRPr="004A2197">
          <w:rPr>
            <w:rFonts w:ascii="Times New Roman" w:hAnsi="Times New Roman" w:cs="Times New Roman"/>
            <w:sz w:val="24"/>
            <w:szCs w:val="24"/>
          </w:rPr>
          <w:instrText xml:space="preserve"> PAGE   \* MERGEFORMAT </w:instrText>
        </w:r>
        <w:r w:rsidRPr="004A2197">
          <w:rPr>
            <w:rFonts w:ascii="Times New Roman" w:hAnsi="Times New Roman" w:cs="Times New Roman"/>
            <w:sz w:val="24"/>
            <w:szCs w:val="24"/>
          </w:rPr>
          <w:fldChar w:fldCharType="separate"/>
        </w:r>
        <w:r w:rsidRPr="004A2197">
          <w:rPr>
            <w:rFonts w:ascii="Times New Roman" w:hAnsi="Times New Roman" w:cs="Times New Roman"/>
            <w:noProof/>
            <w:sz w:val="24"/>
            <w:szCs w:val="24"/>
          </w:rPr>
          <w:t>2</w:t>
        </w:r>
        <w:r w:rsidRPr="004A2197">
          <w:rPr>
            <w:rFonts w:ascii="Times New Roman" w:hAnsi="Times New Roman" w:cs="Times New Roman"/>
            <w:noProof/>
            <w:sz w:val="24"/>
            <w:szCs w:val="24"/>
          </w:rPr>
          <w:fldChar w:fldCharType="end"/>
        </w:r>
      </w:p>
    </w:sdtContent>
  </w:sdt>
  <w:p w14:paraId="2CC0D5C9" w14:textId="77777777" w:rsidR="004A2197" w:rsidRDefault="004A2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35"/>
    <w:rsid w:val="00037BB7"/>
    <w:rsid w:val="000405EB"/>
    <w:rsid w:val="0017501E"/>
    <w:rsid w:val="0025722A"/>
    <w:rsid w:val="002B264E"/>
    <w:rsid w:val="002F39C0"/>
    <w:rsid w:val="00344935"/>
    <w:rsid w:val="00372CCA"/>
    <w:rsid w:val="00495D2A"/>
    <w:rsid w:val="004A2197"/>
    <w:rsid w:val="00560123"/>
    <w:rsid w:val="005F08F8"/>
    <w:rsid w:val="00682869"/>
    <w:rsid w:val="006C2E58"/>
    <w:rsid w:val="006F00C1"/>
    <w:rsid w:val="00720547"/>
    <w:rsid w:val="0072796B"/>
    <w:rsid w:val="007B1C30"/>
    <w:rsid w:val="007B6058"/>
    <w:rsid w:val="007D11D0"/>
    <w:rsid w:val="00973C0B"/>
    <w:rsid w:val="009E3FBA"/>
    <w:rsid w:val="009F2BBC"/>
    <w:rsid w:val="00A32E49"/>
    <w:rsid w:val="00AA0E0E"/>
    <w:rsid w:val="00B9773F"/>
    <w:rsid w:val="00D82538"/>
    <w:rsid w:val="00DA6894"/>
    <w:rsid w:val="00E325CF"/>
    <w:rsid w:val="00E7505A"/>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F5C3"/>
  <w15:chartTrackingRefBased/>
  <w15:docId w15:val="{63269E67-A1E1-4385-B0A5-63AC312A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344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344935"/>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344935"/>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44935"/>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34493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4493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4493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4493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44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93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44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93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44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4935"/>
    <w:rPr>
      <w:i/>
      <w:iCs/>
      <w:color w:val="404040" w:themeColor="text1" w:themeTint="BF"/>
      <w:lang w:val="en-US"/>
    </w:rPr>
  </w:style>
  <w:style w:type="paragraph" w:styleId="ListParagraph">
    <w:name w:val="List Paragraph"/>
    <w:basedOn w:val="Normal"/>
    <w:uiPriority w:val="34"/>
    <w:qFormat/>
    <w:rsid w:val="00344935"/>
    <w:pPr>
      <w:ind w:left="720"/>
      <w:contextualSpacing/>
    </w:pPr>
  </w:style>
  <w:style w:type="character" w:styleId="IntenseEmphasis">
    <w:name w:val="Intense Emphasis"/>
    <w:basedOn w:val="DefaultParagraphFont"/>
    <w:uiPriority w:val="21"/>
    <w:qFormat/>
    <w:rsid w:val="00344935"/>
    <w:rPr>
      <w:i/>
      <w:iCs/>
      <w:color w:val="2F5496" w:themeColor="accent1" w:themeShade="BF"/>
    </w:rPr>
  </w:style>
  <w:style w:type="paragraph" w:styleId="IntenseQuote">
    <w:name w:val="Intense Quote"/>
    <w:basedOn w:val="Normal"/>
    <w:next w:val="Normal"/>
    <w:link w:val="IntenseQuoteChar"/>
    <w:uiPriority w:val="30"/>
    <w:qFormat/>
    <w:rsid w:val="00344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935"/>
    <w:rPr>
      <w:i/>
      <w:iCs/>
      <w:color w:val="2F5496" w:themeColor="accent1" w:themeShade="BF"/>
      <w:lang w:val="en-US"/>
    </w:rPr>
  </w:style>
  <w:style w:type="character" w:styleId="IntenseReference">
    <w:name w:val="Intense Reference"/>
    <w:basedOn w:val="DefaultParagraphFont"/>
    <w:uiPriority w:val="32"/>
    <w:qFormat/>
    <w:rsid w:val="00344935"/>
    <w:rPr>
      <w:b/>
      <w:bCs/>
      <w:smallCaps/>
      <w:color w:val="2F5496" w:themeColor="accent1" w:themeShade="BF"/>
      <w:spacing w:val="5"/>
    </w:rPr>
  </w:style>
  <w:style w:type="character" w:styleId="Hyperlink">
    <w:name w:val="Hyperlink"/>
    <w:basedOn w:val="DefaultParagraphFont"/>
    <w:uiPriority w:val="99"/>
    <w:unhideWhenUsed/>
    <w:rsid w:val="00344935"/>
    <w:rPr>
      <w:color w:val="0563C1" w:themeColor="hyperlink"/>
      <w:u w:val="single"/>
    </w:rPr>
  </w:style>
  <w:style w:type="character" w:styleId="UnresolvedMention">
    <w:name w:val="Unresolved Mention"/>
    <w:basedOn w:val="DefaultParagraphFont"/>
    <w:uiPriority w:val="99"/>
    <w:semiHidden/>
    <w:unhideWhenUsed/>
    <w:rsid w:val="00344935"/>
    <w:rPr>
      <w:color w:val="605E5C"/>
      <w:shd w:val="clear" w:color="auto" w:fill="E1DFDD"/>
    </w:rPr>
  </w:style>
  <w:style w:type="paragraph" w:styleId="Header">
    <w:name w:val="header"/>
    <w:basedOn w:val="Normal"/>
    <w:link w:val="HeaderChar"/>
    <w:uiPriority w:val="99"/>
    <w:unhideWhenUsed/>
    <w:rsid w:val="004A2197"/>
    <w:pPr>
      <w:tabs>
        <w:tab w:val="center" w:pos="4513"/>
        <w:tab w:val="right" w:pos="9026"/>
      </w:tabs>
      <w:spacing w:line="240" w:lineRule="auto"/>
    </w:pPr>
  </w:style>
  <w:style w:type="character" w:customStyle="1" w:styleId="HeaderChar">
    <w:name w:val="Header Char"/>
    <w:basedOn w:val="DefaultParagraphFont"/>
    <w:link w:val="Header"/>
    <w:uiPriority w:val="99"/>
    <w:rsid w:val="004A2197"/>
    <w:rPr>
      <w:lang w:val="en-US"/>
    </w:rPr>
  </w:style>
  <w:style w:type="paragraph" w:styleId="Footer">
    <w:name w:val="footer"/>
    <w:basedOn w:val="Normal"/>
    <w:link w:val="FooterChar"/>
    <w:uiPriority w:val="99"/>
    <w:unhideWhenUsed/>
    <w:rsid w:val="004A2197"/>
    <w:pPr>
      <w:tabs>
        <w:tab w:val="center" w:pos="4513"/>
        <w:tab w:val="right" w:pos="9026"/>
      </w:tabs>
      <w:spacing w:line="240" w:lineRule="auto"/>
    </w:pPr>
  </w:style>
  <w:style w:type="character" w:customStyle="1" w:styleId="FooterChar">
    <w:name w:val="Footer Char"/>
    <w:basedOn w:val="DefaultParagraphFont"/>
    <w:link w:val="Footer"/>
    <w:uiPriority w:val="99"/>
    <w:rsid w:val="004A219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har.2025.169312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7/s00431-024-05572-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ns1001002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3233/NPM-221016" TargetMode="External"/><Relationship Id="rId4" Type="http://schemas.openxmlformats.org/officeDocument/2006/relationships/footnotes" Target="footnotes.xml"/><Relationship Id="rId9" Type="http://schemas.openxmlformats.org/officeDocument/2006/relationships/hyperlink" Target="https://doi.org/10.1007/s11136-023-035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4</cp:revision>
  <dcterms:created xsi:type="dcterms:W3CDTF">2026-04-28T21:52:00Z</dcterms:created>
  <dcterms:modified xsi:type="dcterms:W3CDTF">2026-04-28T23:51:00Z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654fd2e9-1990-4221-a70f-98206360548a</vt:lpwstr>
  </property>
</Properties>
</file>