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7210" w14:textId="77777777" w:rsidR="007F2C32" w:rsidRDefault="007F2C32" w:rsidP="007F2C32"/>
    <w:p w14:paraId="571815DC" w14:textId="77777777" w:rsidR="007F2C32" w:rsidRDefault="007F2C32" w:rsidP="007F2C32"/>
    <w:p w14:paraId="1DFC0078" w14:textId="77777777" w:rsidR="007F2C32" w:rsidRDefault="007F2C32" w:rsidP="007F2C32"/>
    <w:p w14:paraId="1BFC60D7" w14:textId="77777777" w:rsidR="007F2C32" w:rsidRDefault="007F2C32" w:rsidP="007F2C32"/>
    <w:p w14:paraId="13B0EA09" w14:textId="77777777" w:rsidR="007F2C32" w:rsidRDefault="007F2C32" w:rsidP="007F2C32"/>
    <w:p w14:paraId="2C48777C" w14:textId="77777777" w:rsidR="007F2C32" w:rsidRPr="00D6664A" w:rsidRDefault="007F2C32" w:rsidP="007F2C32"/>
    <w:p w14:paraId="2948B258" w14:textId="77777777" w:rsidR="007F2C32" w:rsidRPr="00D6664A" w:rsidRDefault="007F2C32" w:rsidP="007F2C32"/>
    <w:p w14:paraId="64EEAE56" w14:textId="77777777" w:rsidR="007F2C32" w:rsidRPr="00D6664A" w:rsidRDefault="007F2C32" w:rsidP="007F2C32">
      <w:pPr>
        <w:jc w:val="center"/>
      </w:pPr>
    </w:p>
    <w:p w14:paraId="33A30750" w14:textId="77777777" w:rsidR="007F2C32" w:rsidRPr="00D6664A" w:rsidRDefault="007F2C32" w:rsidP="007F2C32">
      <w:pPr>
        <w:jc w:val="center"/>
      </w:pPr>
    </w:p>
    <w:p w14:paraId="105C5B63" w14:textId="77777777" w:rsidR="007F2C32" w:rsidRPr="00D6664A" w:rsidRDefault="007F2C32" w:rsidP="007F2C32">
      <w:pPr>
        <w:jc w:val="center"/>
      </w:pPr>
    </w:p>
    <w:p w14:paraId="422A97D7" w14:textId="77777777" w:rsidR="007F2C32" w:rsidRPr="00D6664A" w:rsidRDefault="007F2C32" w:rsidP="007F2C32">
      <w:pPr>
        <w:jc w:val="center"/>
      </w:pPr>
    </w:p>
    <w:p w14:paraId="770FF9C1" w14:textId="04FA5102" w:rsidR="007F2C32" w:rsidRDefault="007F2C32" w:rsidP="007F2C32">
      <w:pPr>
        <w:jc w:val="center"/>
      </w:pPr>
      <w:r w:rsidRPr="007F2C32">
        <w:t>Women, War, and Plantation Power</w:t>
      </w:r>
    </w:p>
    <w:p w14:paraId="3AED5B79" w14:textId="77777777" w:rsidR="007F2C32" w:rsidRPr="00D6664A" w:rsidRDefault="007F2C32" w:rsidP="007F2C32">
      <w:pPr>
        <w:jc w:val="center"/>
      </w:pPr>
    </w:p>
    <w:p w14:paraId="3EDAFC43" w14:textId="77777777" w:rsidR="007F2C32" w:rsidRPr="00D6664A" w:rsidRDefault="007F2C32" w:rsidP="007F2C32">
      <w:pPr>
        <w:jc w:val="center"/>
      </w:pPr>
    </w:p>
    <w:p w14:paraId="720C5EDE" w14:textId="77777777" w:rsidR="007F2C32" w:rsidRDefault="007F2C32" w:rsidP="007F2C32">
      <w:pPr>
        <w:jc w:val="center"/>
      </w:pPr>
    </w:p>
    <w:p w14:paraId="5FA06441" w14:textId="77777777" w:rsidR="007F2C32" w:rsidRPr="00D6664A" w:rsidRDefault="007F2C32" w:rsidP="007F2C32">
      <w:pPr>
        <w:jc w:val="center"/>
      </w:pPr>
    </w:p>
    <w:p w14:paraId="27330A53" w14:textId="77777777" w:rsidR="007F2C32" w:rsidRPr="00D6664A" w:rsidRDefault="007F2C32" w:rsidP="007F2C32">
      <w:pPr>
        <w:jc w:val="center"/>
      </w:pPr>
    </w:p>
    <w:p w14:paraId="6C1FDD87" w14:textId="77777777" w:rsidR="007F2C32" w:rsidRDefault="007F2C32" w:rsidP="007F2C32">
      <w:pPr>
        <w:jc w:val="center"/>
      </w:pPr>
      <w:r>
        <w:t>Name of the author</w:t>
      </w:r>
    </w:p>
    <w:p w14:paraId="1D8279E8" w14:textId="77777777" w:rsidR="007F2C32" w:rsidRPr="00D6664A" w:rsidRDefault="007F2C32" w:rsidP="007F2C32">
      <w:pPr>
        <w:jc w:val="center"/>
      </w:pPr>
    </w:p>
    <w:p w14:paraId="318B887B" w14:textId="77777777" w:rsidR="007F2C32" w:rsidRPr="00D6664A" w:rsidRDefault="007F2C32" w:rsidP="007F2C32">
      <w:pPr>
        <w:jc w:val="center"/>
      </w:pPr>
    </w:p>
    <w:p w14:paraId="50FFB04C" w14:textId="77777777" w:rsidR="007F2C32" w:rsidRPr="00D6664A" w:rsidRDefault="007F2C32" w:rsidP="007F2C32">
      <w:pPr>
        <w:jc w:val="center"/>
      </w:pPr>
    </w:p>
    <w:p w14:paraId="7C1B36BC" w14:textId="77777777" w:rsidR="007F2C32" w:rsidRPr="00D6664A" w:rsidRDefault="007F2C32" w:rsidP="007F2C32">
      <w:pPr>
        <w:jc w:val="center"/>
      </w:pPr>
    </w:p>
    <w:p w14:paraId="3B0FD66A" w14:textId="77777777" w:rsidR="007F2C32" w:rsidRPr="00D6664A" w:rsidRDefault="007F2C32" w:rsidP="007F2C32">
      <w:pPr>
        <w:jc w:val="center"/>
      </w:pPr>
    </w:p>
    <w:p w14:paraId="69A16DC2" w14:textId="77777777" w:rsidR="007F2C32" w:rsidRPr="00D6664A" w:rsidRDefault="007F2C32" w:rsidP="007F2C32">
      <w:pPr>
        <w:jc w:val="center"/>
      </w:pPr>
    </w:p>
    <w:p w14:paraId="70FC8FBA" w14:textId="61AC3F9C" w:rsidR="007F2C32" w:rsidRPr="00D6664A" w:rsidRDefault="007F2C32" w:rsidP="007F2C32">
      <w:pPr>
        <w:jc w:val="center"/>
      </w:pPr>
      <w:r>
        <w:t>27 April 2026</w:t>
      </w:r>
    </w:p>
    <w:p w14:paraId="69B642B9" w14:textId="1B4B7A5F" w:rsidR="00210486" w:rsidRPr="007F2C32" w:rsidRDefault="00210486" w:rsidP="007F2C32">
      <w:pPr>
        <w:spacing w:line="480" w:lineRule="auto"/>
        <w:rPr>
          <w:iCs/>
        </w:rPr>
      </w:pPr>
    </w:p>
    <w:p w14:paraId="204EBE25" w14:textId="77777777" w:rsidR="007F2C32" w:rsidRPr="007F2C32" w:rsidRDefault="007F2C32" w:rsidP="007F2C32">
      <w:pPr>
        <w:spacing w:line="480" w:lineRule="auto"/>
      </w:pPr>
      <w:r w:rsidRPr="007F2C32">
        <w:br w:type="page"/>
      </w:r>
    </w:p>
    <w:p w14:paraId="4D6040C9" w14:textId="7CB66050" w:rsidR="00210486" w:rsidRPr="007F2C32" w:rsidRDefault="00137ED0" w:rsidP="007F2C32">
      <w:pPr>
        <w:spacing w:line="480" w:lineRule="auto"/>
        <w:ind w:firstLine="720"/>
      </w:pPr>
      <w:r w:rsidRPr="007F2C32">
        <w:lastRenderedPageBreak/>
        <w:t>In the American South, every institution central to the slave economy was torn apart by the American Civil War, but most of all on the plantation front. As Southern men went to war, Southern white women were left with unfamiliar and unwanted tasks such as managing farms and plantations, making ends meet, and overseeing increasingly rebellious slaves.</w:t>
      </w:r>
      <w:r w:rsidRPr="007F2C32">
        <w:rPr>
          <w:rStyle w:val="FootnoteReference"/>
        </w:rPr>
        <w:footnoteReference w:id="1"/>
      </w:r>
      <w:r w:rsidRPr="007F2C32">
        <w:t xml:space="preserve"> For a century, historians documented this wartime experience through the self-articulating voices of elite white women - diaries, letters, and memoirs - and the result was an image of reluctant and overwhelmed domestics woefully unsuited to the unexpected roles they were thrust into. This picture, however sympathetic, has been successively, and conclusively, upended by a cohort of historians who have challenged it to new questions and new documents. The scholarship on white plantation mistresses of the Civil War has changed dramatically over the past thirty years from sympathetic assessments of gendered disruption to unwavering analyses of power, violence, and entrepreneurial investments in the regime of slavery. This essay explores this process over the course of three milestone monographs: Drew Gilpin Faust's Mothers of Invention (1996), Thavolia Glymph's Out of the House of Bondage (2003), and Stephanie E. Jones-Rogers's They Were Her Property (2019). Read in chronological order and in relation to the scholarly debates of their time, these three monographs track the rise of a field that has gradually left the mythology of the reluctant mistress behind to provide a more accurate picture of white women as powerful architects and enforcers of racial and economic power during the Civil War.</w:t>
      </w:r>
    </w:p>
    <w:p w14:paraId="6D5D3FB5" w14:textId="6B378841" w:rsidR="00210486" w:rsidRPr="007F2C32" w:rsidRDefault="00137ED0" w:rsidP="007F2C32">
      <w:pPr>
        <w:spacing w:line="480" w:lineRule="auto"/>
        <w:ind w:firstLine="720"/>
      </w:pPr>
      <w:r w:rsidRPr="007F2C32">
        <w:t xml:space="preserve">Before considering each of these works, it is crucial to understand the methodology of the study of plantation mistresses. Because the primary source material most easily accessible for the subject - elite white women's private documents - was written by people keenly aware of how </w:t>
      </w:r>
      <w:r w:rsidRPr="007F2C32">
        <w:lastRenderedPageBreak/>
        <w:t>they presented themselves in social settings and who had every social incentive to gloss, explain away, or exclude evidence of their violence and self-serving financial interests. Elizabeth Fox-Genovese, author of 1988's Within the Plantation Household, which laid the immediate scholarly groundwork on which the field built, suggested that the lives of antebellum Southern women (and of enslaved women more specifically) were different from those of Northern women, and that it was necessary to understand the precise nature of the social structure of human bondage and race that provided the context for their identities.</w:t>
      </w:r>
      <w:r w:rsidRPr="007F2C32">
        <w:rPr>
          <w:rStyle w:val="FootnoteReference"/>
        </w:rPr>
        <w:footnoteReference w:id="2"/>
      </w:r>
      <w:r w:rsidRPr="007F2C32">
        <w:t xml:space="preserve"> Fox-Genovese used archival evidence to detail the fraught class relationships between women masters and the enslaved, and demonstrated that class, race, and gender combined to shape women's lives and define women's identities, challenging the separate spheres notion of women's role in the plantation household.</w:t>
      </w:r>
      <w:r w:rsidRPr="007F2C32">
        <w:rPr>
          <w:rStyle w:val="FootnoteReference"/>
        </w:rPr>
        <w:footnoteReference w:id="3"/>
      </w:r>
      <w:r w:rsidRPr="007F2C32">
        <w:t xml:space="preserve"> Fox-Genovese dismissed the then-popular theme that planter women were engaged in antislavery or even feminist thinking and action; she insisted on placing enslaved women at the forefront of the struggle against slavery and was critical of historians who have sought to find a gender solidarity between black and white women that did not exist.</w:t>
      </w:r>
      <w:r w:rsidRPr="007F2C32">
        <w:rPr>
          <w:rStyle w:val="FootnoteReference"/>
        </w:rPr>
        <w:footnoteReference w:id="4"/>
      </w:r>
      <w:r w:rsidRPr="007F2C32">
        <w:t xml:space="preserve"> Her work cleared an space by revealing that plantation households were sites of class and racial, rather than domestic, power and became the point of departure for the next thirty years of scholarship in the field.</w:t>
      </w:r>
    </w:p>
    <w:p w14:paraId="233258A3" w14:textId="1F8C7A2B" w:rsidR="00210486" w:rsidRPr="007F2C32" w:rsidRDefault="00A40A91" w:rsidP="007F2C32">
      <w:pPr>
        <w:spacing w:line="480" w:lineRule="auto"/>
        <w:ind w:firstLine="720"/>
      </w:pPr>
      <w:r w:rsidRPr="007F2C32">
        <w:t xml:space="preserve">Drew Gilpin Faust's 1996 book, Mothers of Invention, is the master text for modern research on Confederate women and continues to provide the paradigm that all current work must address and modify. Drawing on the journals, correspondence, essays, memoirs, novels, and poems of over five hundred elite women to show how the crisis of war changed the world and worldviews of these women, Faust wrote of how the women's identities and roles in a highly </w:t>
      </w:r>
      <w:r w:rsidRPr="007F2C32">
        <w:lastRenderedPageBreak/>
        <w:t>stratified and paternalistic culture under threat changed as a result.</w:t>
      </w:r>
      <w:r w:rsidRPr="007F2C32">
        <w:rPr>
          <w:rStyle w:val="FootnoteReference"/>
        </w:rPr>
        <w:footnoteReference w:id="5"/>
      </w:r>
      <w:r w:rsidRPr="007F2C32">
        <w:t xml:space="preserve"> Faust argued that the Civil War demanded a painful and significant redefinition of elite Southern white women as a new war broke out when the opportunities open to them as women, or rather as ladies (a category of dependent femininity), drained away.</w:t>
      </w:r>
      <w:r w:rsidRPr="007F2C32">
        <w:rPr>
          <w:rStyle w:val="FootnoteReference"/>
        </w:rPr>
        <w:footnoteReference w:id="6"/>
      </w:r>
      <w:r w:rsidRPr="007F2C32">
        <w:t xml:space="preserve"> Prior to the war, these women had defined themselves as relationships with other men, as wives, mothers, or sisters, while their social world had constructed itself around a male-dominated world, to which they had contributed indirectly and rarely engaged in the economic life of a plantation.</w:t>
      </w:r>
      <w:r w:rsidRPr="007F2C32">
        <w:rPr>
          <w:rStyle w:val="FootnoteReference"/>
        </w:rPr>
        <w:footnoteReference w:id="7"/>
      </w:r>
      <w:r w:rsidRPr="007F2C32">
        <w:t xml:space="preserve"> The women's wartime experience led to an attempt to create new forms of self-definition and self-esteem for themselves.</w:t>
      </w:r>
      <w:r w:rsidRPr="007F2C32">
        <w:rPr>
          <w:rStyle w:val="FootnoteReference"/>
        </w:rPr>
        <w:footnoteReference w:id="8"/>
      </w:r>
      <w:r w:rsidRPr="007F2C32">
        <w:t xml:space="preserve"> Faust contended that the war as a process of discovery acted in the shaping of the self-definition and collective identity of the master class of women and that the crisis of war required them to be the mothers of their own reinvention even as the demise of the Confederacy placed constraints on their integration into a new world.</w:t>
      </w:r>
      <w:r w:rsidRPr="007F2C32">
        <w:rPr>
          <w:rStyle w:val="FootnoteReference"/>
        </w:rPr>
        <w:footnoteReference w:id="9"/>
      </w:r>
    </w:p>
    <w:p w14:paraId="741EBF37" w14:textId="3ADF31F6" w:rsidR="00210486" w:rsidRPr="007F2C32" w:rsidRDefault="00A40A91" w:rsidP="007F2C32">
      <w:pPr>
        <w:spacing w:line="480" w:lineRule="auto"/>
        <w:ind w:firstLine="720"/>
      </w:pPr>
      <w:r w:rsidRPr="007F2C32">
        <w:t>Faust's was a nuanced and sympathetic methodological approach. She discussed both the plantation management duties imposed on women, and their roles as nurses, teachers, authors, readers, and survivors recording the tension between old and new in the lives of a group that was the beneficiary as well as the victim of the culture of the Old South.</w:t>
      </w:r>
      <w:r w:rsidRPr="007F2C32">
        <w:rPr>
          <w:rStyle w:val="FootnoteReference"/>
        </w:rPr>
        <w:footnoteReference w:id="10"/>
      </w:r>
      <w:r w:rsidRPr="007F2C32">
        <w:t xml:space="preserve"> </w:t>
      </w:r>
      <w:r w:rsidR="000D3F01" w:rsidRPr="007F2C32">
        <w:t>I</w:t>
      </w:r>
      <w:r w:rsidRPr="007F2C32">
        <w:t xml:space="preserve">n review of the book, </w:t>
      </w:r>
      <w:r w:rsidR="000D3F01" w:rsidRPr="007F2C32">
        <w:t xml:space="preserve">the author </w:t>
      </w:r>
      <w:r w:rsidRPr="007F2C32">
        <w:t>wrote that Faust had added detail to the scholarly portrait of Southern women and that the question would now be dominated by the debate about whether the war had been a welcome opportunity for women rather than an onerous necessity.</w:t>
      </w:r>
      <w:r w:rsidRPr="007F2C32">
        <w:rPr>
          <w:rStyle w:val="FootnoteReference"/>
        </w:rPr>
        <w:footnoteReference w:id="11"/>
      </w:r>
      <w:r w:rsidRPr="007F2C32">
        <w:t xml:space="preserve"> Also that year, reviewing the book in </w:t>
      </w:r>
      <w:r w:rsidRPr="007F2C32">
        <w:lastRenderedPageBreak/>
        <w:t>the American Historical Review, Jean Baker applauded the fact that Faust had made an important contribution to both the historiography of the Civil War and women's studies, noting that her examination of the effects of secession, invasion and conquest on white Southern women was original both in terms of scale and source material.</w:t>
      </w:r>
      <w:r w:rsidRPr="007F2C32">
        <w:rPr>
          <w:rStyle w:val="FootnoteReference"/>
        </w:rPr>
        <w:footnoteReference w:id="12"/>
      </w:r>
      <w:r w:rsidRPr="007F2C32">
        <w:t xml:space="preserve"> The significant gap in all that she did, however, was one that all of her scholarly children would wrestle with: her almost exclusive concentration on working through white elite women's own self-representations produced an account that reflected those women's class position and their wish to represent themselves as harassed rather than purposive. Black people who figured in Mothers of Invention generally did so through the eyes of white women - as burdens to be borne, rather than as people whose words about the coercions being visited on them could be taken at least as seriously as white women's words.</w:t>
      </w:r>
    </w:p>
    <w:p w14:paraId="5A9A8DA0" w14:textId="4850677C" w:rsidR="00210486" w:rsidRPr="007F2C32" w:rsidRDefault="00665A60" w:rsidP="007F2C32">
      <w:pPr>
        <w:spacing w:line="480" w:lineRule="auto"/>
        <w:ind w:firstLine="720"/>
      </w:pPr>
      <w:r w:rsidRPr="007F2C32">
        <w:t>This problem was rooted in the disciplinary practices of the field, and provided opportunities for revisionist scholarship such as that produced by Thavolia Glymph in 2003. Glymph's Out of the House of Bondage is the most important intervention to date in the historiography of plantation mistresses and its argument is strong and precise. Glymph started by reviewing the place of women and slavery in the feminist history of the US South, arguing that revisionist studies had neither addressed the issue of violence against enslaved women nor had much of the gender analysis to date explained the dynamics of social relations between black and white women.</w:t>
      </w:r>
      <w:r w:rsidRPr="007F2C32">
        <w:rPr>
          <w:rStyle w:val="FootnoteReference"/>
        </w:rPr>
        <w:footnoteReference w:id="13"/>
      </w:r>
      <w:r w:rsidRPr="007F2C32">
        <w:t xml:space="preserve"> She overturned the theory that plantation mistresses were a secret abolitionist force or allies of the enslaved, and argued that Southern white women ruled the plantation home </w:t>
      </w:r>
      <w:r w:rsidRPr="007F2C32">
        <w:lastRenderedPageBreak/>
        <w:t>with the constant threat and implementation of violence.</w:t>
      </w:r>
      <w:r w:rsidRPr="007F2C32">
        <w:rPr>
          <w:rStyle w:val="FootnoteReference"/>
        </w:rPr>
        <w:footnoteReference w:id="14"/>
      </w:r>
      <w:r w:rsidRPr="007F2C32">
        <w:t xml:space="preserve"> This was not a small qualification to Faust's picture of Southerners - it was a profound challenge to the classic evidentiary and interpretive practice of the earlier generation of historians. Glymph shows that interpretations which argued for a solidarity between black and white women on the basis of the gendered nature of power have depended on an acceptance of the assumption that the feminine and kind white woman had once existed.</w:t>
      </w:r>
      <w:r w:rsidRPr="007F2C32">
        <w:rPr>
          <w:rStyle w:val="FootnoteReference"/>
        </w:rPr>
        <w:footnoteReference w:id="15"/>
      </w:r>
      <w:r w:rsidRPr="007F2C32">
        <w:t xml:space="preserve"> She argued that far from violence being the exception to the rule of slaveholding women's behavior, violence appears to have been more common between mistresses and their enslaved people than between masters and their captured people, and that white women consistently considered physical abuse an important component of labor extraction.</w:t>
      </w:r>
      <w:r w:rsidRPr="007F2C32">
        <w:rPr>
          <w:rStyle w:val="FootnoteReference"/>
        </w:rPr>
        <w:footnoteReference w:id="16"/>
      </w:r>
    </w:p>
    <w:p w14:paraId="76381BA6" w14:textId="77777777" w:rsidR="00210486" w:rsidRPr="007F2C32" w:rsidRDefault="00210486" w:rsidP="007F2C32">
      <w:pPr>
        <w:spacing w:line="480" w:lineRule="auto"/>
      </w:pPr>
    </w:p>
    <w:p w14:paraId="6189980D" w14:textId="66F195A9" w:rsidR="00210486" w:rsidRPr="007F2C32" w:rsidRDefault="007F6AF6" w:rsidP="007F2C32">
      <w:pPr>
        <w:spacing w:line="480" w:lineRule="auto"/>
        <w:ind w:firstLine="720"/>
      </w:pPr>
      <w:r w:rsidRPr="007F2C32">
        <w:t>This analysis' methodological underpinnings were its basis. Glymph did more than unpack slaveholding white women's justifying discourses to explore how mistresses' punitively violent acts against their enslaved people offered a productive opportunity to think about their emotions about slavery more broadly.</w:t>
      </w:r>
      <w:r w:rsidRPr="007F2C32">
        <w:rPr>
          <w:rStyle w:val="FootnoteReference"/>
        </w:rPr>
        <w:footnoteReference w:id="17"/>
      </w:r>
      <w:r w:rsidRPr="007F2C32">
        <w:t xml:space="preserve"> She brought the refined prose of elite white women recorded in their journals and diaries into conversation with the rough-hewn narratives of people once enslaved, recorded in the WPA Slave Narratives, forcefully arguing for the inclusion of the latter as evidence of a historical truth that white women's own authorship was structured to hide. The plantation household that resulted from this juxtaposition was a place of work rather than home, where contradictory understandings of gender were used as weapons between black and </w:t>
      </w:r>
      <w:r w:rsidRPr="007F2C32">
        <w:lastRenderedPageBreak/>
        <w:t>white women, and where mistresses were not the helpless victims of a system of sexual oppression that they shared with the enslaved but rather powerful figures in the hierarchy of slavery.</w:t>
      </w:r>
      <w:r w:rsidRPr="007F2C32">
        <w:rPr>
          <w:rStyle w:val="FootnoteReference"/>
        </w:rPr>
        <w:footnoteReference w:id="18"/>
      </w:r>
      <w:r w:rsidRPr="007F2C32">
        <w:t xml:space="preserve"> In a</w:t>
      </w:r>
      <w:r w:rsidR="009A02E1" w:rsidRPr="007F2C32">
        <w:t xml:space="preserve"> book</w:t>
      </w:r>
      <w:r w:rsidRPr="007F2C32">
        <w:t xml:space="preserve"> review, Glymph was described as having shone a light on the female face of slaveholder power, by revealing how white women were extremely powerful in the household, and therefore played a key role in shaping white racial power relations and slave management; and how the enslaved women who received their authority were forced to create self-defense through strategies of everyday resistance.</w:t>
      </w:r>
      <w:r w:rsidRPr="007F2C32">
        <w:rPr>
          <w:rStyle w:val="FootnoteReference"/>
        </w:rPr>
        <w:footnoteReference w:id="19"/>
      </w:r>
      <w:r w:rsidRPr="007F2C32">
        <w:t xml:space="preserve"> Finally, with respect to the Civil War, Glymph argued that the wartime difficulties faced by Confederate women centered on their role as slaveholders rather than just as helpless women, and that the resistance of enslaved people to white women stemmed from a desire to destroy their status as slaveholder in much the same way that male slaves resisted overseers.</w:t>
      </w:r>
      <w:r w:rsidRPr="007F2C32">
        <w:rPr>
          <w:rStyle w:val="FootnoteReference"/>
        </w:rPr>
        <w:footnoteReference w:id="20"/>
      </w:r>
      <w:r w:rsidRPr="007F2C32">
        <w:t xml:space="preserve"> Thus, the Civil War did not turn long-suffering gentle mistresses into reluctant taskmasters, but instead it escalated trends in coercive control as bondsmen and women took advantage of the unprecedented wartime opportunities for resistance.</w:t>
      </w:r>
      <w:r w:rsidRPr="007F2C32">
        <w:rPr>
          <w:rStyle w:val="FootnoteReference"/>
        </w:rPr>
        <w:footnoteReference w:id="21"/>
      </w:r>
    </w:p>
    <w:p w14:paraId="2562EF53" w14:textId="77777777" w:rsidR="007F6AF6" w:rsidRPr="007F2C32" w:rsidRDefault="007F6AF6" w:rsidP="007F2C32">
      <w:pPr>
        <w:spacing w:line="480" w:lineRule="auto"/>
        <w:ind w:firstLine="720"/>
      </w:pPr>
      <w:r w:rsidRPr="007F2C32">
        <w:t>A review in the Civil War Book Review acknowledged that Glymph's essay on the private sphere being "inflicted by its own measure of violence and politics" made an ironic contribution to the history of Southern white women, "in that it located a moment in which white women got stronger by violently abusing black women rather than by refusing the restraints put on them".</w:t>
      </w:r>
      <w:r w:rsidRPr="007F2C32">
        <w:rPr>
          <w:rStyle w:val="FootnoteReference"/>
        </w:rPr>
        <w:footnoteReference w:id="22"/>
      </w:r>
      <w:r w:rsidRPr="007F2C32">
        <w:t xml:space="preserve"> This insight points to the central historiographical break Glymph made: she </w:t>
      </w:r>
      <w:r w:rsidRPr="007F2C32">
        <w:lastRenderedPageBreak/>
        <w:t>transformed the question of white women's agency, which for Julia Faust was sympathetic to their reluctant act of self-transformation, into a case study of their establishment of a racially and economically reproductive relationship of domination. It had a major and enduring impact on the field. Indeed, it became impossible to discourse about plantation mistresses once again, primarily in terms of patriarchal, or wartime, victimhood after the publication of Out of the House of Bondage: each subsequent study of the subject has had to respond to the structural violence Glymph identified as central to the household order.</w:t>
      </w:r>
    </w:p>
    <w:p w14:paraId="5F83F940" w14:textId="77777777" w:rsidR="007F6AF6" w:rsidRPr="007F2C32" w:rsidRDefault="007F6AF6" w:rsidP="007F2C32">
      <w:pPr>
        <w:spacing w:line="480" w:lineRule="auto"/>
        <w:ind w:firstLine="720"/>
      </w:pPr>
    </w:p>
    <w:p w14:paraId="7490F37B" w14:textId="785DA065" w:rsidR="00210486" w:rsidRPr="007F2C32" w:rsidRDefault="007F6AF6" w:rsidP="007F2C32">
      <w:pPr>
        <w:spacing w:line="480" w:lineRule="auto"/>
        <w:ind w:firstLine="720"/>
      </w:pPr>
      <w:r w:rsidRPr="007F2C32">
        <w:t>The question that Glymph raised whether white women's power over enslaved people derived from their husbands or was maintained independently became the guiding question in Stephanie E. Jones-Roger's They Were Her Property (2019), now acknowledged as the most archivally ambitious work in the field. Jones-Rogers's thesis was that white women were not simply the mistresses of their husbands' property, but "independent, economically savvy" owners of enslaved people who took legal title to them in childhood and who viewed slavery as the keystone of their personal and social power.</w:t>
      </w:r>
      <w:r w:rsidRPr="007F2C32">
        <w:rPr>
          <w:rStyle w:val="FootnoteReference"/>
        </w:rPr>
        <w:footnoteReference w:id="23"/>
      </w:r>
      <w:r w:rsidRPr="007F2C32">
        <w:t xml:space="preserve"> White women, who usually inherited more enslaved people than land, </w:t>
      </w:r>
      <w:r w:rsidR="007F2C32" w:rsidRPr="007F2C32">
        <w:t>internalized</w:t>
      </w:r>
      <w:r w:rsidRPr="007F2C32">
        <w:t xml:space="preserve"> slavery as the foundation of their wealth and social status and not only refused to relinquish ownership of enslaved people to their husbands, but adopted management strategies as effective and violent as those of enslaved men.</w:t>
      </w:r>
      <w:r w:rsidRPr="007F2C32">
        <w:rPr>
          <w:rStyle w:val="FootnoteReference"/>
        </w:rPr>
        <w:footnoteReference w:id="24"/>
      </w:r>
      <w:r w:rsidRPr="007F2C32">
        <w:t xml:space="preserve"> White women bought and sold slaves, profited from the slave trade, and gained independence, status, and power through their involvement in the slave market, in ways that previous scholarship had consistently underestimated or overlooked.</w:t>
      </w:r>
      <w:r w:rsidRPr="007F2C32">
        <w:rPr>
          <w:rStyle w:val="FootnoteReference"/>
        </w:rPr>
        <w:footnoteReference w:id="25"/>
      </w:r>
      <w:r w:rsidRPr="007F2C32">
        <w:t xml:space="preserve"> Indeed, Jones-Rogers showed that enslavement was a major </w:t>
      </w:r>
      <w:r w:rsidRPr="007F2C32">
        <w:lastRenderedPageBreak/>
        <w:t>strategy that white women used to accumulate wealth and assert economic independence from their future husbands, and that they preserved ownership of their enslaved property through legal means - such as premarital agreements and dower rights - that protected their property.</w:t>
      </w:r>
      <w:r w:rsidRPr="007F2C32">
        <w:rPr>
          <w:rStyle w:val="FootnoteReference"/>
        </w:rPr>
        <w:footnoteReference w:id="26"/>
      </w:r>
    </w:p>
    <w:p w14:paraId="77D99D28" w14:textId="77777777" w:rsidR="00210486" w:rsidRPr="007F2C32" w:rsidRDefault="00210486" w:rsidP="007F2C32">
      <w:pPr>
        <w:spacing w:line="480" w:lineRule="auto"/>
      </w:pPr>
    </w:p>
    <w:p w14:paraId="726F01E3" w14:textId="45AA261C" w:rsidR="00210486" w:rsidRPr="007F2C32" w:rsidRDefault="007F6AF6" w:rsidP="007F2C32">
      <w:pPr>
        <w:spacing w:line="480" w:lineRule="auto"/>
        <w:ind w:firstLine="720"/>
      </w:pPr>
      <w:r w:rsidRPr="007F2C32">
        <w:t>This was a staggeringly archival underpinning of this argument. Using thousands of property records, marriage contracts, court documents, bills of sale and estate inventories, Jones-Rogers offered a world of white women who negotiated property ownership before marriage, and invoked coverture law when necessary to shield their enslaved property from their husbands' creditors, as well as actively engaged in the sales, leases and purchases of enslaved people during their lifetimes.</w:t>
      </w:r>
      <w:r w:rsidRPr="007F2C32">
        <w:rPr>
          <w:rStyle w:val="FootnoteReference"/>
        </w:rPr>
        <w:footnoteReference w:id="27"/>
      </w:r>
      <w:r w:rsidRPr="007F2C32">
        <w:t xml:space="preserve"> In a review, it was noted that Jones-Rogers traced the life of the Southern woman, as slaveholder, from cradle to grave, and from the marriage altar to the grave, detailing painfully and poignantly how the Southern household reproduced slavery, and cementing her place in an ever-growing dialogue about 19th century women's agency and white women's complicity.</w:t>
      </w:r>
      <w:r w:rsidRPr="007F2C32">
        <w:rPr>
          <w:rStyle w:val="FootnoteReference"/>
        </w:rPr>
        <w:footnoteReference w:id="28"/>
      </w:r>
      <w:r w:rsidRPr="007F2C32">
        <w:t>Reflecting on the history of research into slave narratives, Jones-Rogers also highlighted how white women had been understood. She explained that when former slaves named a white woman as their master, mistress, or personal procurer, a prior generation of historians consistently dismissed this testimony as error or confusion because of their interpretive framework that presumes women's property dependency.</w:t>
      </w:r>
      <w:r w:rsidRPr="007F2C32">
        <w:rPr>
          <w:rStyle w:val="FootnoteReference"/>
        </w:rPr>
        <w:footnoteReference w:id="29"/>
      </w:r>
      <w:r w:rsidRPr="007F2C32">
        <w:t xml:space="preserve"> By giving credence to this testimony and explaining it through documentary records, Jones-Rogers made several claims about the nature of research more broadly: that by imposing interpretive frameworks on primary sources, </w:t>
      </w:r>
      <w:r w:rsidRPr="007F2C32">
        <w:lastRenderedPageBreak/>
        <w:t>scholars can misread them; that black testimony about white power is historically credible, and should be given the same evidentiary weight as any other historical record.</w:t>
      </w:r>
    </w:p>
    <w:p w14:paraId="27A85322" w14:textId="77777777" w:rsidR="00210486" w:rsidRPr="007F2C32" w:rsidRDefault="00210486" w:rsidP="007F2C32">
      <w:pPr>
        <w:spacing w:line="480" w:lineRule="auto"/>
      </w:pPr>
    </w:p>
    <w:p w14:paraId="7F8A07F4" w14:textId="6560FFB9" w:rsidR="00210486" w:rsidRPr="007F2C32" w:rsidRDefault="007F6AF6" w:rsidP="007F2C32">
      <w:pPr>
        <w:spacing w:line="480" w:lineRule="auto"/>
        <w:ind w:firstLine="720"/>
      </w:pPr>
      <w:r w:rsidRPr="007F2C32">
        <w:t>The actions Jones-Rogers documents during the Civil War were geared explicitly toward protecting their property and not just managing scarce family resources. White women relocated enslaved people inland away from Union forces, often forcibly and against the express will of their "property".</w:t>
      </w:r>
      <w:r w:rsidRPr="007F2C32">
        <w:rPr>
          <w:rStyle w:val="FootnoteReference"/>
        </w:rPr>
        <w:footnoteReference w:id="30"/>
      </w:r>
      <w:r w:rsidRPr="007F2C32">
        <w:t xml:space="preserve"> They lobbied the government to keep their enslaved property out from under the impressment hammer, paid for slave catchers to help them return runaways and took legal action to protect their property even as the Confederacy was collapsing from within. </w:t>
      </w:r>
      <w:r w:rsidR="009A02E1" w:rsidRPr="007F2C32">
        <w:t>The author</w:t>
      </w:r>
      <w:r w:rsidRPr="007F2C32">
        <w:t xml:space="preserve"> in </w:t>
      </w:r>
      <w:r w:rsidR="009A02E1" w:rsidRPr="007F2C32">
        <w:t>review</w:t>
      </w:r>
      <w:r w:rsidRPr="007F2C32">
        <w:t xml:space="preserve"> of this work called it invigoratingly revisionist and profoundly transformative, as it knocked aside the narrative of the passivity of married white women in the "business" of slavery and demonstrated the resilience and clarity of their action in the system of enslavement.</w:t>
      </w:r>
      <w:r w:rsidRPr="007F2C32">
        <w:rPr>
          <w:rStyle w:val="FootnoteReference"/>
        </w:rPr>
        <w:footnoteReference w:id="31"/>
      </w:r>
      <w:r w:rsidRPr="007F2C32">
        <w:t xml:space="preserve"> Indeed, the book was recognized as one of the ten best history books as Jones-Rogers's work knocked down the view that white women in slaveholding households were passive objects, showing that they harnessed the institution of slavery to create a distinctive ideal of womanhood that shaped the history of the nation during and after the Civil War.</w:t>
      </w:r>
      <w:r w:rsidRPr="007F2C32">
        <w:rPr>
          <w:rStyle w:val="FootnoteReference"/>
        </w:rPr>
        <w:footnoteReference w:id="32"/>
      </w:r>
    </w:p>
    <w:p w14:paraId="6D601C37" w14:textId="77777777" w:rsidR="00210486" w:rsidRPr="007F2C32" w:rsidRDefault="00210486" w:rsidP="007F2C32">
      <w:pPr>
        <w:spacing w:line="480" w:lineRule="auto"/>
      </w:pPr>
    </w:p>
    <w:p w14:paraId="5060F2FF" w14:textId="4F74CC62" w:rsidR="00210486" w:rsidRPr="007F2C32" w:rsidRDefault="000F0176" w:rsidP="007F2C32">
      <w:pPr>
        <w:spacing w:line="480" w:lineRule="auto"/>
        <w:ind w:firstLine="720"/>
      </w:pPr>
      <w:r w:rsidRPr="007F2C32">
        <w:t xml:space="preserve">In the sequence in which they were published, Faust, Glymph and Jones-Rogers make for a dense, coherent and historically important argument. Faust's 1996 account was the first sustained argument written in the field about the gendered experiences of Confederate women </w:t>
      </w:r>
      <w:r w:rsidRPr="007F2C32">
        <w:lastRenderedPageBreak/>
        <w:t xml:space="preserve">during the war, and set the stage for following generations' debate: its women victims or agents? Did the war transform them or reveal their essential selves? The answer to those questions from Glymph's 2003 book was simple but methodologically game-changing: these women had always been proactive masters, their violence had always been integral to the family regime, the Civil War only intensified their repressive power. In 2019, Jones-Rogers built on Glymph's argument to explore the place of white women's wartime behavior in the legal and economic aspects of slavery that neither predecessor fully explored, showing that white women's wartime actions were not solely driven by ideas but also by material interest as independent property owners who worked to defend the property they owned all their lives. This development parallels a number of developments in American historical scholarship. For one, it mirrors the methodological revolution of bringing Black perspectives and voices into an historical field that was previously dominated by white self-representation. It reflects a greater scholarly interest in placing white women on the line as historical actors rather than absolving them of responsibility by </w:t>
      </w:r>
      <w:r w:rsidR="007F2C32" w:rsidRPr="007F2C32">
        <w:t>emphasizing</w:t>
      </w:r>
      <w:r w:rsidRPr="007F2C32">
        <w:t xml:space="preserve"> their </w:t>
      </w:r>
      <w:r w:rsidR="007F2C32" w:rsidRPr="007F2C32">
        <w:t>victimization</w:t>
      </w:r>
      <w:r w:rsidRPr="007F2C32">
        <w:t xml:space="preserve">. And it brings women's history to the economic history of slavery in ways that older archives focused primarily on gender ideology and women's culture could not. Taken together, the accumulated effect is that a historiography can now be unflinching in its assessment of the agency and material interest in the perpetuation of slavery of white women. What the literature less fully attends to is a narrative that would see these women (and their slavery-working peers) and the enslaved African Americans that their work is about, through the end of Reconstruction, into the forms of racial exploitation that replaced chattel slavery. This question remains to be answered, and that is work in progress. What it has already done - with the hard work of three decades - is lay down the markers of interpretive rigor, insisting that white women's history cannot be told without the history of the black people whose </w:t>
      </w:r>
      <w:r w:rsidRPr="007F2C32">
        <w:lastRenderedPageBreak/>
        <w:t>suffering allowed white women to imagine and claim for themselves such a world, and who fought to protect it, with such ferocity, from its destruction.</w:t>
      </w:r>
    </w:p>
    <w:p w14:paraId="65E3FAB5" w14:textId="4ED19B40" w:rsidR="00210486" w:rsidRPr="007F2C32" w:rsidRDefault="00DD4F81" w:rsidP="007F2C32">
      <w:pPr>
        <w:pageBreakBefore/>
        <w:spacing w:line="480" w:lineRule="auto"/>
      </w:pPr>
      <w:r w:rsidRPr="007F2C32">
        <w:rPr>
          <w:b/>
          <w:bCs/>
        </w:rPr>
        <w:lastRenderedPageBreak/>
        <w:t>Bibliography</w:t>
      </w:r>
    </w:p>
    <w:p w14:paraId="02229418" w14:textId="77777777" w:rsidR="000D3F01" w:rsidRPr="007F2C32" w:rsidRDefault="00F8713F" w:rsidP="007F2C32">
      <w:pPr>
        <w:pStyle w:val="Bibliography"/>
        <w:spacing w:after="0" w:line="480" w:lineRule="auto"/>
      </w:pPr>
      <w:r w:rsidRPr="007F2C32">
        <w:fldChar w:fldCharType="begin"/>
      </w:r>
      <w:r w:rsidRPr="007F2C32">
        <w:instrText xml:space="preserve"> ADDIN ZOTERO_BIBL {"uncited":[],"omitted":[],"custom":[]} CSL_BIBLIOGRAPHY </w:instrText>
      </w:r>
      <w:r w:rsidRPr="007F2C32">
        <w:fldChar w:fldCharType="separate"/>
      </w:r>
      <w:r w:rsidR="000D3F01" w:rsidRPr="007F2C32">
        <w:t xml:space="preserve">Baker, Jean H. “Drew Gilpin Faust. Mothers of Invention: Women of the Slaveholding South in the American Civil War. Chapel Hill: University of North Carolina Press. 1996. Pp. Xvi, 326. $29.95.” </w:t>
      </w:r>
      <w:r w:rsidR="000D3F01" w:rsidRPr="007F2C32">
        <w:rPr>
          <w:i/>
          <w:iCs/>
        </w:rPr>
        <w:t>The American Historical Review</w:t>
      </w:r>
      <w:r w:rsidR="000D3F01" w:rsidRPr="007F2C32">
        <w:t xml:space="preserve"> 102, no. 1 (1997): 191–92. https://doi.org/10.1086/ahr/102.1.191.</w:t>
      </w:r>
    </w:p>
    <w:p w14:paraId="03981166" w14:textId="77777777" w:rsidR="000D3F01" w:rsidRPr="007F2C32" w:rsidRDefault="000D3F01" w:rsidP="007F2C32">
      <w:pPr>
        <w:pStyle w:val="Bibliography"/>
        <w:spacing w:after="0" w:line="480" w:lineRule="auto"/>
      </w:pPr>
      <w:r w:rsidRPr="007F2C32">
        <w:t xml:space="preserve">Downs, Jim. “Out of the House of Bondage: The Transformation of the Plantation Household.” </w:t>
      </w:r>
      <w:r w:rsidRPr="007F2C32">
        <w:rPr>
          <w:i/>
          <w:iCs/>
        </w:rPr>
        <w:t>Civil War Book Review</w:t>
      </w:r>
      <w:r w:rsidRPr="007F2C32">
        <w:t xml:space="preserve"> 11, no. 3 (2009). https://doi.org/10.31390/cwbr.11.3.14.</w:t>
      </w:r>
    </w:p>
    <w:p w14:paraId="7BE01DC4" w14:textId="77777777" w:rsidR="000D3F01" w:rsidRPr="007F2C32" w:rsidRDefault="000D3F01" w:rsidP="007F2C32">
      <w:pPr>
        <w:pStyle w:val="Bibliography"/>
        <w:spacing w:after="0" w:line="480" w:lineRule="auto"/>
      </w:pPr>
      <w:r w:rsidRPr="007F2C32">
        <w:t xml:space="preserve">Faust, Drew Gilpin. </w:t>
      </w:r>
      <w:r w:rsidRPr="007F2C32">
        <w:rPr>
          <w:i/>
          <w:iCs/>
        </w:rPr>
        <w:t>Mothers of Invention: Women of the Slaveholding South in the American Civil War</w:t>
      </w:r>
      <w:r w:rsidRPr="007F2C32">
        <w:t>. Univ of North Carolina Press, 1996.</w:t>
      </w:r>
    </w:p>
    <w:p w14:paraId="5FE2E360" w14:textId="77777777" w:rsidR="000D3F01" w:rsidRPr="007F2C32" w:rsidRDefault="000D3F01" w:rsidP="007F2C32">
      <w:pPr>
        <w:pStyle w:val="Bibliography"/>
        <w:spacing w:after="0" w:line="480" w:lineRule="auto"/>
      </w:pPr>
      <w:r w:rsidRPr="007F2C32">
        <w:t xml:space="preserve">Fox-Genovese, Elizabeth. </w:t>
      </w:r>
      <w:r w:rsidRPr="007F2C32">
        <w:rPr>
          <w:i/>
          <w:iCs/>
        </w:rPr>
        <w:t>Within the Plantation Household: Black and White Women of the Old South</w:t>
      </w:r>
      <w:r w:rsidRPr="007F2C32">
        <w:t>. The University of North Carolina Press, 1988.</w:t>
      </w:r>
    </w:p>
    <w:p w14:paraId="1E39BC42" w14:textId="77777777" w:rsidR="000D3F01" w:rsidRPr="007F2C32" w:rsidRDefault="000D3F01" w:rsidP="007F2C32">
      <w:pPr>
        <w:pStyle w:val="Bibliography"/>
        <w:spacing w:after="0" w:line="480" w:lineRule="auto"/>
      </w:pPr>
      <w:r w:rsidRPr="007F2C32">
        <w:t xml:space="preserve">Glymph, Thavolia. </w:t>
      </w:r>
      <w:r w:rsidRPr="007F2C32">
        <w:rPr>
          <w:i/>
          <w:iCs/>
        </w:rPr>
        <w:t>Out of the House of Bondage: The Transformation of the Plantation Household</w:t>
      </w:r>
      <w:r w:rsidRPr="007F2C32">
        <w:t>. Cambridge University Press, 2003.</w:t>
      </w:r>
    </w:p>
    <w:p w14:paraId="27F7F669" w14:textId="77777777" w:rsidR="000D3F01" w:rsidRPr="007F2C32" w:rsidRDefault="000D3F01" w:rsidP="007F2C32">
      <w:pPr>
        <w:pStyle w:val="Bibliography"/>
        <w:spacing w:after="0" w:line="480" w:lineRule="auto"/>
      </w:pPr>
      <w:r w:rsidRPr="007F2C32">
        <w:t xml:space="preserve">Jones-Rogers, Stephanie E. </w:t>
      </w:r>
      <w:r w:rsidRPr="007F2C32">
        <w:rPr>
          <w:i/>
          <w:iCs/>
        </w:rPr>
        <w:t>They Were Her Property: White Women as Slave Owners in the American South</w:t>
      </w:r>
      <w:r w:rsidRPr="007F2C32">
        <w:t>. Yale University Press, 2019. https://doi.org/10.2307/j.ctvbnm3fz.</w:t>
      </w:r>
    </w:p>
    <w:p w14:paraId="6EB4EA17" w14:textId="77777777" w:rsidR="000D3F01" w:rsidRPr="007F2C32" w:rsidRDefault="000D3F01" w:rsidP="007F2C32">
      <w:pPr>
        <w:pStyle w:val="Bibliography"/>
        <w:spacing w:after="0" w:line="480" w:lineRule="auto"/>
      </w:pPr>
      <w:r w:rsidRPr="007F2C32">
        <w:t xml:space="preserve">Obeng-Odoom, Franklin. “Review of Stephanie Jones-Rogers, They Were Her Property: White Women as Slave Owners in the American South, New Haven, CT: Yale University Press, 2019 Pp 296.” </w:t>
      </w:r>
      <w:r w:rsidRPr="007F2C32">
        <w:rPr>
          <w:i/>
          <w:iCs/>
        </w:rPr>
        <w:t>Journal of Economics, Race, and Policy</w:t>
      </w:r>
      <w:r w:rsidRPr="007F2C32">
        <w:t xml:space="preserve"> 8, no. 2 (2025): 187–88. https://doi.org/10.1007/s41996-025-00168-4.</w:t>
      </w:r>
    </w:p>
    <w:p w14:paraId="2D856D4B" w14:textId="77777777" w:rsidR="000D3F01" w:rsidRPr="007F2C32" w:rsidRDefault="000D3F01" w:rsidP="007F2C32">
      <w:pPr>
        <w:pStyle w:val="Bibliography"/>
        <w:spacing w:after="0" w:line="480" w:lineRule="auto"/>
      </w:pPr>
      <w:r w:rsidRPr="007F2C32">
        <w:t xml:space="preserve">Sehgal, Parul. “White Women Were Avid Slaveowners, a New Book Shows.” Books. </w:t>
      </w:r>
      <w:r w:rsidRPr="007F2C32">
        <w:rPr>
          <w:i/>
          <w:iCs/>
        </w:rPr>
        <w:t>The New York Times</w:t>
      </w:r>
      <w:r w:rsidRPr="007F2C32">
        <w:t>, February 26, 2019. https://www.nytimes.com/2019/02/26/books/review-they-were-her-property-white-women-slave-owners-stephanie-jones-rogers.html.</w:t>
      </w:r>
    </w:p>
    <w:p w14:paraId="72BE9050" w14:textId="77777777" w:rsidR="000D3F01" w:rsidRPr="007F2C32" w:rsidRDefault="000D3F01" w:rsidP="007F2C32">
      <w:pPr>
        <w:pStyle w:val="Bibliography"/>
        <w:spacing w:after="0" w:line="480" w:lineRule="auto"/>
      </w:pPr>
      <w:r w:rsidRPr="007F2C32">
        <w:lastRenderedPageBreak/>
        <w:t>Serratore, Angela. “The Ten Best History Books of 2019.” Smithsonian Magazine, 2019. https://www.smithsonianmag.com/history/ten-best-history-books-2019-180973567/.</w:t>
      </w:r>
    </w:p>
    <w:p w14:paraId="13B34480" w14:textId="77777777" w:rsidR="000D3F01" w:rsidRPr="007F2C32" w:rsidRDefault="000D3F01" w:rsidP="007F2C32">
      <w:pPr>
        <w:pStyle w:val="Bibliography"/>
        <w:spacing w:after="0" w:line="480" w:lineRule="auto"/>
      </w:pPr>
      <w:r w:rsidRPr="007F2C32">
        <w:t>Widger, Caeli. “Review of Mother of Invention.” April 27, 2018. https://www.forewordreviews.com/reviews/mother-of-invention/.</w:t>
      </w:r>
    </w:p>
    <w:p w14:paraId="1A55F045" w14:textId="06C309FD" w:rsidR="00210486" w:rsidRPr="007F2C32" w:rsidRDefault="00F8713F" w:rsidP="007F2C32">
      <w:pPr>
        <w:spacing w:line="480" w:lineRule="auto"/>
        <w:ind w:left="720" w:hanging="720"/>
      </w:pPr>
      <w:r w:rsidRPr="007F2C32">
        <w:fldChar w:fldCharType="end"/>
      </w:r>
    </w:p>
    <w:sectPr w:rsidR="00210486" w:rsidRPr="007F2C32" w:rsidSect="007F2C32">
      <w:headerReference w:type="default" r:id="rId7"/>
      <w:footerReference w:type="default" r:id="rId8"/>
      <w:pgSz w:w="12240" w:h="15840"/>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0A71" w14:textId="77777777" w:rsidR="00946233" w:rsidRDefault="00946233">
      <w:r>
        <w:separator/>
      </w:r>
    </w:p>
  </w:endnote>
  <w:endnote w:type="continuationSeparator" w:id="0">
    <w:p w14:paraId="3435D17F" w14:textId="77777777" w:rsidR="00946233" w:rsidRDefault="0094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52FD" w14:textId="77777777" w:rsidR="004654BC" w:rsidRDefault="00465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0164" w14:textId="77777777" w:rsidR="00946233" w:rsidRDefault="00946233">
      <w:r>
        <w:separator/>
      </w:r>
    </w:p>
  </w:footnote>
  <w:footnote w:type="continuationSeparator" w:id="0">
    <w:p w14:paraId="4867F8DA" w14:textId="77777777" w:rsidR="00946233" w:rsidRDefault="00946233">
      <w:r>
        <w:continuationSeparator/>
      </w:r>
    </w:p>
  </w:footnote>
  <w:footnote w:id="1">
    <w:p w14:paraId="38C5391F" w14:textId="5E91BF9B" w:rsidR="00DD4F81" w:rsidRDefault="00DD4F81">
      <w:pPr>
        <w:ind w:firstLine="720"/>
        <w:jc w:val="both"/>
      </w:pPr>
      <w:r>
        <w:rPr>
          <w:rStyle w:val="FootnoteReference"/>
        </w:rPr>
        <w:footnoteRef/>
      </w:r>
      <w:r>
        <w:rPr>
          <w:sz w:val="20"/>
          <w:szCs w:val="20"/>
        </w:rPr>
        <w:fldChar w:fldCharType="begin"/>
      </w:r>
      <w:r>
        <w:rPr>
          <w:sz w:val="20"/>
          <w:szCs w:val="20"/>
        </w:rPr>
        <w:instrText xml:space="preserve"> ADDIN ZOTERO_ITEM CSL_CITATION {"citationID":"XKEhIvCH","properties":{"formattedCitation":"Drew Gilpin Faust, {\\i{}Mothers of Invention: Women of the Slaveholding South in the American Civil War} (Univ of North Carolina Press, 1996).","plainCitation":"Drew Gilpin Faust, Mothers of Invention: Women of the Slaveholding South in the American Civil War (Univ of North Carolina Press, 1996).","noteIndex":1},"citationItems":[{"id":16990,"uris":["http://zotero.org/users/local/tDp9ODyy/items/IPVBZWGF"],"itemData":{"id":16990,"type":"book","abstract":"A New York Times Notable Book of the YearWinner of the Francis Parkman PrizeWinner of the Avery Craven PrizeIn the ante-bellum South, women from elite slaveholding families were raised to consider themselves not so much as \"women\" but as \"ladi","ISBN":"978-0-8078-2255-5","language":"en","note":"Google-Books-ID: DKxC8dNYvu0C","number-of-pages":"360","publisher":"Univ of North Carolina Press","source":"Google Books","title":"Mothers of Invention: Women of the Slaveholding South in the American Civil War","title-short":"Mothers of Invention","author":[{"family":"Faust","given":"Drew Gilpin"}],"issued":{"date-parts":[["1996"]]}}}],"schema":"https://github.com/citation-style-language/schema/raw/master/csl-citation.json"} </w:instrText>
      </w:r>
      <w:r>
        <w:rPr>
          <w:sz w:val="20"/>
          <w:szCs w:val="20"/>
        </w:rPr>
        <w:fldChar w:fldCharType="separate"/>
      </w:r>
      <w:r w:rsidRPr="00B11720">
        <w:rPr>
          <w:sz w:val="20"/>
        </w:rPr>
        <w:t xml:space="preserve">Drew Gilpin Faust, </w:t>
      </w:r>
      <w:r w:rsidRPr="00B11720">
        <w:rPr>
          <w:i/>
          <w:iCs/>
          <w:sz w:val="20"/>
        </w:rPr>
        <w:t>Mothers of Invention: Women of the Slaveholding South in the American Civil War</w:t>
      </w:r>
      <w:r w:rsidRPr="00B11720">
        <w:rPr>
          <w:sz w:val="20"/>
        </w:rPr>
        <w:t xml:space="preserve"> (Univ of North Carolina Press, 1996).</w:t>
      </w:r>
      <w:r>
        <w:rPr>
          <w:sz w:val="20"/>
          <w:szCs w:val="20"/>
        </w:rPr>
        <w:fldChar w:fldCharType="end"/>
      </w:r>
    </w:p>
  </w:footnote>
  <w:footnote w:id="2">
    <w:p w14:paraId="012D3ED2" w14:textId="62D4438B" w:rsidR="00DD4F81" w:rsidRDefault="00DD4F81">
      <w:pPr>
        <w:ind w:firstLine="720"/>
        <w:jc w:val="both"/>
      </w:pPr>
      <w:r>
        <w:rPr>
          <w:rStyle w:val="FootnoteReference"/>
        </w:rPr>
        <w:footnoteRef/>
      </w:r>
      <w:r>
        <w:rPr>
          <w:sz w:val="20"/>
          <w:szCs w:val="20"/>
        </w:rPr>
        <w:fldChar w:fldCharType="begin"/>
      </w:r>
      <w:r>
        <w:rPr>
          <w:sz w:val="20"/>
          <w:szCs w:val="20"/>
        </w:rPr>
        <w:instrText xml:space="preserve"> ADDIN ZOTERO_ITEM CSL_CITATION {"citationID":"uAxA0GVt","properties":{"formattedCitation":"Elizabeth Fox-Genovese, {\\i{}Within the Plantation Household: Black and White Women of the Old South} (The University of North Carolina Press, 1988).","plainCitation":"Elizabeth Fox-Genovese, Within the Plantation Household: Black and White Women of the Old South (The University of North Carolina Press, 1988).","noteIndex":2},"citationItems":[{"id":16992,"uris":["http://zotero.org/users/local/tDp9ODyy/items/XYAGAYXM"],"itemData":{"id":16992,"type":"book","abstract":"Documenting the difficult class relations between women slaveholders and slave women, this study shows how class and race as well as gender shaped women’s experiences and determined their identities. Drawing upon massive research in diaries, letters, memoirs, and oral histories, the author argues that the lives of antebellum southern women, enslaved and free, differed fundamentally from those of northern women and that it is not possible to understand antebellum southern women by applying models derived from New England sources.","ISBN":"978-0-8078-4232-4","language":"English","number-of-pages":"568","publisher":"The University of North Carolina Press","publisher-place":"Chapel Hill","source":"Amazon","title":"Within the Plantation Household: Black and White Women of the Old South","title-short":"Within the Plantation Household","author":[{"family":"Fox-Genovese","given":"Elizabeth"}],"issued":{"date-parts":[["1988"]]}}}],"schema":"https://github.com/citation-style-language/schema/raw/master/csl-citation.json"} </w:instrText>
      </w:r>
      <w:r>
        <w:rPr>
          <w:sz w:val="20"/>
          <w:szCs w:val="20"/>
        </w:rPr>
        <w:fldChar w:fldCharType="separate"/>
      </w:r>
      <w:r w:rsidRPr="006321CB">
        <w:rPr>
          <w:sz w:val="20"/>
        </w:rPr>
        <w:t xml:space="preserve">Elizabeth Fox-Genovese, </w:t>
      </w:r>
      <w:r w:rsidRPr="006321CB">
        <w:rPr>
          <w:i/>
          <w:iCs/>
          <w:sz w:val="20"/>
        </w:rPr>
        <w:t>Within the Plantation Household: Black and White Women of the Old South</w:t>
      </w:r>
      <w:r w:rsidRPr="006321CB">
        <w:rPr>
          <w:sz w:val="20"/>
        </w:rPr>
        <w:t xml:space="preserve"> (The University of North Carolina Press, 1988).</w:t>
      </w:r>
      <w:r>
        <w:rPr>
          <w:sz w:val="20"/>
          <w:szCs w:val="20"/>
        </w:rPr>
        <w:fldChar w:fldCharType="end"/>
      </w:r>
    </w:p>
  </w:footnote>
  <w:footnote w:id="3">
    <w:p w14:paraId="3FCFA8A0" w14:textId="77777777" w:rsidR="00DD4F81" w:rsidRDefault="00DD4F81">
      <w:pPr>
        <w:ind w:firstLine="720"/>
        <w:jc w:val="both"/>
      </w:pPr>
      <w:r>
        <w:rPr>
          <w:rStyle w:val="FootnoteReference"/>
        </w:rPr>
        <w:footnoteRef/>
      </w:r>
      <w:r>
        <w:rPr>
          <w:sz w:val="20"/>
          <w:szCs w:val="20"/>
        </w:rPr>
        <w:t xml:space="preserve">Fox-Genovese, </w:t>
      </w:r>
      <w:r>
        <w:rPr>
          <w:i/>
          <w:iCs/>
          <w:sz w:val="20"/>
          <w:szCs w:val="20"/>
        </w:rPr>
        <w:t>Within the Plantation Household</w:t>
      </w:r>
      <w:r>
        <w:rPr>
          <w:sz w:val="20"/>
          <w:szCs w:val="20"/>
        </w:rPr>
        <w:t>, 80–81.</w:t>
      </w:r>
    </w:p>
  </w:footnote>
  <w:footnote w:id="4">
    <w:p w14:paraId="1C84CDA8" w14:textId="77777777" w:rsidR="00DD4F81" w:rsidRDefault="00DD4F81">
      <w:pPr>
        <w:ind w:firstLine="720"/>
        <w:jc w:val="both"/>
      </w:pPr>
      <w:r>
        <w:rPr>
          <w:rStyle w:val="FootnoteReference"/>
        </w:rPr>
        <w:footnoteRef/>
      </w:r>
      <w:r>
        <w:rPr>
          <w:sz w:val="20"/>
          <w:szCs w:val="20"/>
        </w:rPr>
        <w:t xml:space="preserve">Fox-Genovese, </w:t>
      </w:r>
      <w:r>
        <w:rPr>
          <w:i/>
          <w:iCs/>
          <w:sz w:val="20"/>
          <w:szCs w:val="20"/>
        </w:rPr>
        <w:t>Within the Plantation Household</w:t>
      </w:r>
      <w:r>
        <w:rPr>
          <w:sz w:val="20"/>
          <w:szCs w:val="20"/>
        </w:rPr>
        <w:t>, 98.</w:t>
      </w:r>
    </w:p>
  </w:footnote>
  <w:footnote w:id="5">
    <w:p w14:paraId="2DD26892" w14:textId="77777777" w:rsidR="00DD4F81" w:rsidRDefault="00DD4F81">
      <w:pPr>
        <w:ind w:firstLine="720"/>
        <w:jc w:val="both"/>
      </w:pPr>
      <w:r>
        <w:rPr>
          <w:rStyle w:val="FootnoteReference"/>
        </w:rPr>
        <w:footnoteRef/>
      </w:r>
      <w:r>
        <w:rPr>
          <w:sz w:val="20"/>
          <w:szCs w:val="20"/>
        </w:rPr>
        <w:t xml:space="preserve">Faust, </w:t>
      </w:r>
      <w:r>
        <w:rPr>
          <w:i/>
          <w:iCs/>
          <w:sz w:val="20"/>
          <w:szCs w:val="20"/>
        </w:rPr>
        <w:t>Mothers of Invention</w:t>
      </w:r>
      <w:r>
        <w:rPr>
          <w:sz w:val="20"/>
          <w:szCs w:val="20"/>
        </w:rPr>
        <w:t>, xii.</w:t>
      </w:r>
    </w:p>
  </w:footnote>
  <w:footnote w:id="6">
    <w:p w14:paraId="7C0267E7" w14:textId="77777777" w:rsidR="00DD4F81" w:rsidRDefault="00DD4F81">
      <w:pPr>
        <w:ind w:firstLine="720"/>
        <w:jc w:val="both"/>
      </w:pPr>
      <w:r>
        <w:rPr>
          <w:rStyle w:val="FootnoteReference"/>
        </w:rPr>
        <w:footnoteRef/>
      </w:r>
      <w:r>
        <w:rPr>
          <w:sz w:val="20"/>
          <w:szCs w:val="20"/>
        </w:rPr>
        <w:t xml:space="preserve">Faust, </w:t>
      </w:r>
      <w:r>
        <w:rPr>
          <w:i/>
          <w:iCs/>
          <w:sz w:val="20"/>
          <w:szCs w:val="20"/>
        </w:rPr>
        <w:t>Mothers of Invention</w:t>
      </w:r>
      <w:r>
        <w:rPr>
          <w:sz w:val="20"/>
          <w:szCs w:val="20"/>
        </w:rPr>
        <w:t>, 7.</w:t>
      </w:r>
    </w:p>
  </w:footnote>
  <w:footnote w:id="7">
    <w:p w14:paraId="0358F1F9" w14:textId="77777777" w:rsidR="00DD4F81" w:rsidRDefault="00DD4F81">
      <w:pPr>
        <w:ind w:firstLine="720"/>
        <w:jc w:val="both"/>
      </w:pPr>
      <w:r>
        <w:rPr>
          <w:rStyle w:val="FootnoteReference"/>
        </w:rPr>
        <w:footnoteRef/>
      </w:r>
      <w:r>
        <w:rPr>
          <w:sz w:val="20"/>
          <w:szCs w:val="20"/>
        </w:rPr>
        <w:t xml:space="preserve">Faust, </w:t>
      </w:r>
      <w:r>
        <w:rPr>
          <w:i/>
          <w:iCs/>
          <w:sz w:val="20"/>
          <w:szCs w:val="20"/>
        </w:rPr>
        <w:t>Mothers of Invention</w:t>
      </w:r>
      <w:r>
        <w:rPr>
          <w:sz w:val="20"/>
          <w:szCs w:val="20"/>
        </w:rPr>
        <w:t>, 12–14.</w:t>
      </w:r>
    </w:p>
  </w:footnote>
  <w:footnote w:id="8">
    <w:p w14:paraId="0647840D" w14:textId="77777777" w:rsidR="00DD4F81" w:rsidRDefault="00DD4F81">
      <w:pPr>
        <w:ind w:firstLine="720"/>
        <w:jc w:val="both"/>
      </w:pPr>
      <w:r>
        <w:rPr>
          <w:rStyle w:val="FootnoteReference"/>
        </w:rPr>
        <w:footnoteRef/>
      </w:r>
      <w:r>
        <w:rPr>
          <w:sz w:val="20"/>
          <w:szCs w:val="20"/>
        </w:rPr>
        <w:t xml:space="preserve">Faust, </w:t>
      </w:r>
      <w:r>
        <w:rPr>
          <w:i/>
          <w:iCs/>
          <w:sz w:val="20"/>
          <w:szCs w:val="20"/>
        </w:rPr>
        <w:t>Mothers of Invention</w:t>
      </w:r>
      <w:r>
        <w:rPr>
          <w:sz w:val="20"/>
          <w:szCs w:val="20"/>
        </w:rPr>
        <w:t>, 7.</w:t>
      </w:r>
    </w:p>
  </w:footnote>
  <w:footnote w:id="9">
    <w:p w14:paraId="00A188BF" w14:textId="77777777" w:rsidR="00DD4F81" w:rsidRDefault="00DD4F81">
      <w:pPr>
        <w:ind w:firstLine="720"/>
        <w:jc w:val="both"/>
      </w:pPr>
      <w:r>
        <w:rPr>
          <w:rStyle w:val="FootnoteReference"/>
        </w:rPr>
        <w:footnoteRef/>
      </w:r>
      <w:r>
        <w:rPr>
          <w:sz w:val="20"/>
          <w:szCs w:val="20"/>
        </w:rPr>
        <w:t xml:space="preserve">Faust, </w:t>
      </w:r>
      <w:r>
        <w:rPr>
          <w:i/>
          <w:iCs/>
          <w:sz w:val="20"/>
          <w:szCs w:val="20"/>
        </w:rPr>
        <w:t>Mothers of Invention</w:t>
      </w:r>
      <w:r>
        <w:rPr>
          <w:sz w:val="20"/>
          <w:szCs w:val="20"/>
        </w:rPr>
        <w:t>, xii.</w:t>
      </w:r>
    </w:p>
  </w:footnote>
  <w:footnote w:id="10">
    <w:p w14:paraId="5007A655" w14:textId="77777777" w:rsidR="00DD4F81" w:rsidRDefault="00DD4F81">
      <w:pPr>
        <w:ind w:firstLine="720"/>
        <w:jc w:val="both"/>
      </w:pPr>
      <w:r>
        <w:rPr>
          <w:rStyle w:val="FootnoteReference"/>
        </w:rPr>
        <w:footnoteRef/>
      </w:r>
      <w:r>
        <w:rPr>
          <w:sz w:val="20"/>
          <w:szCs w:val="20"/>
        </w:rPr>
        <w:t xml:space="preserve">Faust, </w:t>
      </w:r>
      <w:r>
        <w:rPr>
          <w:i/>
          <w:iCs/>
          <w:sz w:val="20"/>
          <w:szCs w:val="20"/>
        </w:rPr>
        <w:t>Mothers of Invention</w:t>
      </w:r>
      <w:r>
        <w:rPr>
          <w:sz w:val="20"/>
          <w:szCs w:val="20"/>
        </w:rPr>
        <w:t>, xii.</w:t>
      </w:r>
    </w:p>
  </w:footnote>
  <w:footnote w:id="11">
    <w:p w14:paraId="5084E565" w14:textId="7F8159AF" w:rsidR="00DD4F81" w:rsidRDefault="00DD4F81">
      <w:pPr>
        <w:ind w:firstLine="720"/>
        <w:jc w:val="both"/>
      </w:pPr>
      <w:r>
        <w:rPr>
          <w:rStyle w:val="FootnoteReference"/>
        </w:rPr>
        <w:footnoteRef/>
      </w:r>
      <w:r>
        <w:rPr>
          <w:sz w:val="20"/>
          <w:szCs w:val="20"/>
        </w:rPr>
        <w:fldChar w:fldCharType="begin"/>
      </w:r>
      <w:r>
        <w:rPr>
          <w:sz w:val="20"/>
          <w:szCs w:val="20"/>
        </w:rPr>
        <w:instrText xml:space="preserve"> ADDIN ZOTERO_ITEM CSL_CITATION {"citationID":"JvejmehU","properties":{"formattedCitation":"Caeli Widger, \\uc0\\u8220{}Review of Mother of Invention,\\uc0\\u8221{} April 27, 2018, https://www.forewordreviews.com/reviews/mother-of-invention/.","plainCitation":"Caeli Widger, “Review of Mother of Invention,” April 27, 2018, https://www.forewordreviews.com/reviews/mother-of-invention/.","noteIndex":11},"citationItems":[{"id":17008,"uris":["http://zotero.org/users/local/tDp9ODyy/items/PRZUSY5P"],"itemData":{"id":17008,"type":"webpage","abstract":"Mother of Invention: On its surface, \"Mother of Invention\" is a quasi-feminist speculative novel about reinventing the way that women give birth. In her forties and childless only partially by choice, Tessa, a biotech whiz, finds the prospect of shortening gestation...","language":"en","title":"Review of Mother of Invention","URL":"https://www.forewordreviews.com/reviews/mother-of-invention/","author":[{"family":"Widger","given":"Caeli"}],"accessed":{"date-parts":[["2026",4,28]]},"issued":{"date-parts":[["2018",4,27]]}}}],"schema":"https://github.com/citation-style-language/schema/raw/master/csl-citation.json"} </w:instrText>
      </w:r>
      <w:r>
        <w:rPr>
          <w:sz w:val="20"/>
          <w:szCs w:val="20"/>
        </w:rPr>
        <w:fldChar w:fldCharType="separate"/>
      </w:r>
      <w:r w:rsidRPr="000D3F01">
        <w:rPr>
          <w:sz w:val="20"/>
        </w:rPr>
        <w:t>Caeli Widger, “Review of Mother of Invention,” April 27, 2018, https://www.forewordreviews.com/reviews/mother-of-invention/.</w:t>
      </w:r>
      <w:r>
        <w:rPr>
          <w:sz w:val="20"/>
          <w:szCs w:val="20"/>
        </w:rPr>
        <w:fldChar w:fldCharType="end"/>
      </w:r>
    </w:p>
  </w:footnote>
  <w:footnote w:id="12">
    <w:p w14:paraId="156122D2" w14:textId="5200CD6A" w:rsidR="00DD4F81" w:rsidRDefault="00DD4F81">
      <w:pPr>
        <w:ind w:firstLine="720"/>
        <w:jc w:val="both"/>
      </w:pPr>
      <w:r>
        <w:rPr>
          <w:rStyle w:val="FootnoteReference"/>
        </w:rPr>
        <w:footnoteRef/>
      </w:r>
      <w:r>
        <w:rPr>
          <w:sz w:val="20"/>
          <w:szCs w:val="20"/>
        </w:rPr>
        <w:fldChar w:fldCharType="begin"/>
      </w:r>
      <w:r>
        <w:rPr>
          <w:sz w:val="20"/>
          <w:szCs w:val="20"/>
        </w:rPr>
        <w:instrText xml:space="preserve"> ADDIN ZOTERO_ITEM CSL_CITATION {"citationID":"dbhnayXf","properties":{"formattedCitation":"Jean H. Baker, \\uc0\\u8220{}Drew Gilpin Faust. Mothers of Invention: Women of the Slaveholding South in the American Civil War. Chapel Hill: University of North Carolina Press. 1996. Pp. Xvi, 326. $29.95,\\uc0\\u8221{} {\\i{}The American Historical Review} 102, no. 1 (1997): 191\\uc0\\u8211{}92, https://doi.org/10.1086/ahr/102.1.191.","plainCitation":"Jean H. Baker, “Drew Gilpin Faust. Mothers of Invention: Women of the Slaveholding South in the American Civil War. Chapel Hill: University of North Carolina Press. 1996. Pp. Xvi, 326. $29.95,” The American Historical Review 102, no. 1 (1997): 191–92, https://doi.org/10.1086/ahr/102.1.191.","noteIndex":12},"citationItems":[{"id":16988,"uris":["http://zotero.org/users/local/tDp9ODyy/items/U9M6K7J9"],"itemData":{"id":16988,"type":"article-journal","container-title":"The American Historical Review","DOI":"10.1086/ahr/102.1.191","ISSN":"0002-8762","issue":"1","journalAbbreviation":"Am Hist Rev","page":"191-192","source":"Silverchair","title":"Drew Gilpin Faust. Mothers of Invention: Women of the Slaveholding South in the American Civil War. Chapel Hill: University of North Carolina Press. 1996. Pp. xvi, 326. $29.95","title-short":"Drew Gilpin Faust. Mothers of Invention","volume":"102","author":[{"family":"Baker","given":"Jean H."}],"issued":{"date-parts":[["1997",2,1]]}}}],"schema":"https://github.com/citation-style-language/schema/raw/master/csl-citation.json"} </w:instrText>
      </w:r>
      <w:r>
        <w:rPr>
          <w:sz w:val="20"/>
          <w:szCs w:val="20"/>
        </w:rPr>
        <w:fldChar w:fldCharType="separate"/>
      </w:r>
      <w:r w:rsidRPr="00B11720">
        <w:rPr>
          <w:sz w:val="20"/>
        </w:rPr>
        <w:t xml:space="preserve">Jean H. Baker, “Drew Gilpin Faust. Mothers of Invention: Women of the Slaveholding South in the American Civil War. Chapel Hill: University of North Carolina Press. 1996. Pp. Xvi, 326. $29.95,” </w:t>
      </w:r>
      <w:r w:rsidRPr="00B11720">
        <w:rPr>
          <w:i/>
          <w:iCs/>
          <w:sz w:val="20"/>
        </w:rPr>
        <w:t>The American Historical Review</w:t>
      </w:r>
      <w:r w:rsidRPr="00B11720">
        <w:rPr>
          <w:sz w:val="20"/>
        </w:rPr>
        <w:t xml:space="preserve"> 102, no. 1 (1997): 191–92, https://doi.org/10.1086/ahr/102.1.191.</w:t>
      </w:r>
      <w:r>
        <w:rPr>
          <w:sz w:val="20"/>
          <w:szCs w:val="20"/>
        </w:rPr>
        <w:fldChar w:fldCharType="end"/>
      </w:r>
    </w:p>
  </w:footnote>
  <w:footnote w:id="13">
    <w:p w14:paraId="4A817E92" w14:textId="77777777" w:rsidR="00DD4F81" w:rsidRDefault="00DD4F81">
      <w:pPr>
        <w:ind w:firstLine="720"/>
        <w:jc w:val="both"/>
      </w:pPr>
      <w:r>
        <w:rPr>
          <w:rStyle w:val="FootnoteReference"/>
        </w:rPr>
        <w:footnoteRef/>
      </w:r>
      <w:r>
        <w:rPr>
          <w:sz w:val="20"/>
          <w:szCs w:val="20"/>
        </w:rPr>
        <w:t xml:space="preserve">Thavolia Glymph, </w:t>
      </w:r>
      <w:r>
        <w:rPr>
          <w:i/>
          <w:iCs/>
          <w:sz w:val="20"/>
          <w:szCs w:val="20"/>
        </w:rPr>
        <w:t>Out of the House of Bondage: The Transformation of the Plantation Household</w:t>
      </w:r>
      <w:r>
        <w:rPr>
          <w:sz w:val="20"/>
          <w:szCs w:val="20"/>
        </w:rPr>
        <w:t xml:space="preserve"> (Cambridge: Cambridge University Press, 2003), 20.</w:t>
      </w:r>
    </w:p>
  </w:footnote>
  <w:footnote w:id="14">
    <w:p w14:paraId="64E18E4A" w14:textId="50D36D85" w:rsidR="00DD4F81" w:rsidRDefault="00DD4F81">
      <w:pPr>
        <w:ind w:firstLine="720"/>
        <w:jc w:val="both"/>
      </w:pPr>
      <w:r>
        <w:rPr>
          <w:rStyle w:val="FootnoteReference"/>
        </w:rPr>
        <w:footnoteRef/>
      </w:r>
      <w:r>
        <w:rPr>
          <w:sz w:val="20"/>
          <w:szCs w:val="20"/>
        </w:rPr>
        <w:fldChar w:fldCharType="begin"/>
      </w:r>
      <w:r>
        <w:rPr>
          <w:sz w:val="20"/>
          <w:szCs w:val="20"/>
        </w:rPr>
        <w:instrText xml:space="preserve"> ADDIN ZOTERO_ITEM CSL_CITATION {"citationID":"YNMVj7ve","properties":{"formattedCitation":"Thavolia Glymph, {\\i{}Out of the House of Bondage: The Transformation of the Plantation Household} (Cambridge University Press, 2003).","plainCitation":"Thavolia Glymph, Out of the House of Bondage: The Transformation of the Plantation Household (Cambridge University Press, 2003).","noteIndex":14},"citationItems":[{"id":16994,"uris":["http://zotero.org/users/local/tDp9ODyy/items/BQDGSJUR"],"itemData":{"id":16994,"type":"book","abstract":"The plantation household was, first and foremost, a site of production. This fundamental fact has generally been overshadowed by popular and scholarly images of the plantation household as the source of slavery's redeeming qualities, where 'gentle' mistresses ministered to 'loyal' slaves. This book recounts a very different story. The very notion of a private sphere, as divorced from the immoral excesses of chattel slavery as from the amoral logic of market laws, functioned to conceal from public scrutiny the day-to-day struggles between enslaved women and their mistresses, subsumed within a logic of patriarchy. One of emancipation's unsung consequences was precisely the exposure to public view of the unbridgeable social distance between the women on whose labor the plantation household relied and the women who employed them. This is a story of race and gender, nation and citizenship, freedom and bondage in the nineteenth century South; a big abstract story that is composed of equally big personal stories.","ISBN":"978-0-521-87901-9","language":"en","note":"Google-Books-ID: rz9MQFkXVr8C","number-of-pages":"279","publisher":"Cambridge University Press","source":"Google Books","title":"Out of the House of Bondage: The Transformation of the Plantation Household","title-short":"Out of the House of Bondage","author":[{"family":"Glymph","given":"Thavolia"}],"issued":{"date-parts":[["2003"]]}}}],"schema":"https://github.com/citation-style-language/schema/raw/master/csl-citation.json"} </w:instrText>
      </w:r>
      <w:r>
        <w:rPr>
          <w:sz w:val="20"/>
          <w:szCs w:val="20"/>
        </w:rPr>
        <w:fldChar w:fldCharType="separate"/>
      </w:r>
      <w:r w:rsidRPr="006321CB">
        <w:rPr>
          <w:sz w:val="20"/>
        </w:rPr>
        <w:t xml:space="preserve">Thavolia Glymph, </w:t>
      </w:r>
      <w:r w:rsidRPr="006321CB">
        <w:rPr>
          <w:i/>
          <w:iCs/>
          <w:sz w:val="20"/>
        </w:rPr>
        <w:t>Out of the House of Bondage: The Transformation of the Plantation Household</w:t>
      </w:r>
      <w:r w:rsidRPr="006321CB">
        <w:rPr>
          <w:sz w:val="20"/>
        </w:rPr>
        <w:t xml:space="preserve"> (Cambridge University Press, 2003).</w:t>
      </w:r>
      <w:r>
        <w:rPr>
          <w:sz w:val="20"/>
          <w:szCs w:val="20"/>
        </w:rPr>
        <w:fldChar w:fldCharType="end"/>
      </w:r>
    </w:p>
  </w:footnote>
  <w:footnote w:id="15">
    <w:p w14:paraId="3C1C9243" w14:textId="77777777" w:rsidR="00DD4F81" w:rsidRDefault="00DD4F81">
      <w:pPr>
        <w:ind w:firstLine="720"/>
        <w:jc w:val="both"/>
      </w:pPr>
      <w:r>
        <w:rPr>
          <w:rStyle w:val="FootnoteReference"/>
        </w:rPr>
        <w:footnoteRef/>
      </w:r>
      <w:r>
        <w:rPr>
          <w:sz w:val="20"/>
          <w:szCs w:val="20"/>
        </w:rPr>
        <w:t xml:space="preserve">Glymph, </w:t>
      </w:r>
      <w:r>
        <w:rPr>
          <w:i/>
          <w:iCs/>
          <w:sz w:val="20"/>
          <w:szCs w:val="20"/>
        </w:rPr>
        <w:t>Out of the House of Bondage</w:t>
      </w:r>
      <w:r>
        <w:rPr>
          <w:sz w:val="20"/>
          <w:szCs w:val="20"/>
        </w:rPr>
        <w:t>, 135.</w:t>
      </w:r>
    </w:p>
  </w:footnote>
  <w:footnote w:id="16">
    <w:p w14:paraId="2F23E4F7" w14:textId="77777777" w:rsidR="00DD4F81" w:rsidRDefault="00DD4F81">
      <w:pPr>
        <w:ind w:firstLine="720"/>
        <w:jc w:val="both"/>
      </w:pPr>
      <w:r>
        <w:rPr>
          <w:rStyle w:val="FootnoteReference"/>
        </w:rPr>
        <w:footnoteRef/>
      </w:r>
      <w:r>
        <w:rPr>
          <w:sz w:val="20"/>
          <w:szCs w:val="20"/>
        </w:rPr>
        <w:t xml:space="preserve">Glymph, </w:t>
      </w:r>
      <w:r>
        <w:rPr>
          <w:i/>
          <w:iCs/>
          <w:sz w:val="20"/>
          <w:szCs w:val="20"/>
        </w:rPr>
        <w:t>Out of the House of Bondage</w:t>
      </w:r>
      <w:r>
        <w:rPr>
          <w:sz w:val="20"/>
          <w:szCs w:val="20"/>
        </w:rPr>
        <w:t>, 36.</w:t>
      </w:r>
    </w:p>
  </w:footnote>
  <w:footnote w:id="17">
    <w:p w14:paraId="0F139C4B" w14:textId="77777777" w:rsidR="00DD4F81" w:rsidRDefault="00DD4F81">
      <w:pPr>
        <w:ind w:firstLine="720"/>
        <w:jc w:val="both"/>
      </w:pPr>
      <w:r>
        <w:rPr>
          <w:rStyle w:val="FootnoteReference"/>
        </w:rPr>
        <w:footnoteRef/>
      </w:r>
      <w:r>
        <w:rPr>
          <w:sz w:val="20"/>
          <w:szCs w:val="20"/>
        </w:rPr>
        <w:t xml:space="preserve">Glymph, </w:t>
      </w:r>
      <w:r>
        <w:rPr>
          <w:i/>
          <w:iCs/>
          <w:sz w:val="20"/>
          <w:szCs w:val="20"/>
        </w:rPr>
        <w:t>Out of the House of Bondage</w:t>
      </w:r>
      <w:r>
        <w:rPr>
          <w:sz w:val="20"/>
          <w:szCs w:val="20"/>
        </w:rPr>
        <w:t>, 25.</w:t>
      </w:r>
    </w:p>
  </w:footnote>
  <w:footnote w:id="18">
    <w:p w14:paraId="7E5FA470" w14:textId="77777777" w:rsidR="00DD4F81" w:rsidRDefault="00DD4F81">
      <w:pPr>
        <w:ind w:firstLine="720"/>
        <w:jc w:val="both"/>
      </w:pPr>
      <w:r>
        <w:rPr>
          <w:rStyle w:val="FootnoteReference"/>
        </w:rPr>
        <w:footnoteRef/>
      </w:r>
      <w:r>
        <w:rPr>
          <w:sz w:val="20"/>
          <w:szCs w:val="20"/>
        </w:rPr>
        <w:t xml:space="preserve">Glymph, </w:t>
      </w:r>
      <w:r>
        <w:rPr>
          <w:i/>
          <w:iCs/>
          <w:sz w:val="20"/>
          <w:szCs w:val="20"/>
        </w:rPr>
        <w:t>Out of the House of Bondage</w:t>
      </w:r>
      <w:r>
        <w:rPr>
          <w:sz w:val="20"/>
          <w:szCs w:val="20"/>
        </w:rPr>
        <w:t>, 5.</w:t>
      </w:r>
    </w:p>
  </w:footnote>
  <w:footnote w:id="19">
    <w:p w14:paraId="3634498F" w14:textId="3A69E765" w:rsidR="00DD4F81" w:rsidRDefault="00DD4F81">
      <w:pPr>
        <w:ind w:firstLine="720"/>
        <w:jc w:val="both"/>
      </w:pPr>
      <w:r>
        <w:rPr>
          <w:rStyle w:val="FootnoteReference"/>
        </w:rPr>
        <w:footnoteRef/>
      </w:r>
      <w:r>
        <w:rPr>
          <w:sz w:val="20"/>
          <w:szCs w:val="20"/>
        </w:rPr>
        <w:fldChar w:fldCharType="begin"/>
      </w:r>
      <w:r>
        <w:rPr>
          <w:sz w:val="20"/>
          <w:szCs w:val="20"/>
        </w:rPr>
        <w:instrText xml:space="preserve"> ADDIN ZOTERO_ITEM CSL_CITATION {"citationID":"eE2Qk5Kf","properties":{"formattedCitation":"Jim Downs, \\uc0\\u8220{}Out of the House of Bondage: The Transformation of the Plantation Household,\\uc0\\u8221{} {\\i{}Civil War Book Review} 11, no. 3 (2009), https://doi.org/10.31390/cwbr.11.3.14.","plainCitation":"Jim Downs, “Out of the House of Bondage: The Transformation of the Plantation Household,” Civil War Book Review 11, no. 3 (2009), https://doi.org/10.31390/cwbr.11.3.14.","noteIndex":19},"citationItems":[{"id":16996,"uris":["http://zotero.org/users/local/tDp9ODyy/items/CMPMJNG8"],"itemData":{"id":16996,"type":"article-journal","abstract":"Summary:Thavolia Glymph analyzes the power relations between black and white southern women within the plantation household in the antebellum, Civil War, and immediately post-Civil War American Sou…","container-title":"Civil War Book Review","DOI":"10.31390/cwbr.11.3.14","issue":"3","language":"en","title":"Out of the House of Bondage: The Transformation of the Plantation Household","title-short":"Book Review","URL":"https://repository.lsu.edu/cwbr/vol11/iss3/14?utm_source=repository.lsu.edu%2Fcwbr%2Fvol11%2Fiss3%2F14&amp;utm_medium=PDF&amp;utm_campaign=PDFCoverPages","volume":"11","author":[{"family":"Downs","given":"Jim"}],"accessed":{"date-parts":[["2026",4,28]]},"issued":{"date-parts":[["2009"]]}}}],"schema":"https://github.com/citation-style-language/schema/raw/master/csl-citation.json"} </w:instrText>
      </w:r>
      <w:r>
        <w:rPr>
          <w:sz w:val="20"/>
          <w:szCs w:val="20"/>
        </w:rPr>
        <w:fldChar w:fldCharType="separate"/>
      </w:r>
      <w:r w:rsidRPr="009A02E1">
        <w:rPr>
          <w:sz w:val="20"/>
        </w:rPr>
        <w:t xml:space="preserve">Jim Downs, “Out of the House of Bondage: The Transformation of the Plantation Household,” </w:t>
      </w:r>
      <w:r w:rsidRPr="009A02E1">
        <w:rPr>
          <w:i/>
          <w:iCs/>
          <w:sz w:val="20"/>
        </w:rPr>
        <w:t>Civil War Book Review</w:t>
      </w:r>
      <w:r w:rsidRPr="009A02E1">
        <w:rPr>
          <w:sz w:val="20"/>
        </w:rPr>
        <w:t xml:space="preserve"> 11, no. 3 (2009), https://doi.org/10.31390/cwbr.11.3.14.</w:t>
      </w:r>
      <w:r>
        <w:rPr>
          <w:sz w:val="20"/>
          <w:szCs w:val="20"/>
        </w:rPr>
        <w:fldChar w:fldCharType="end"/>
      </w:r>
    </w:p>
  </w:footnote>
  <w:footnote w:id="20">
    <w:p w14:paraId="0EF6C9F2" w14:textId="77777777" w:rsidR="00DD4F81" w:rsidRDefault="00DD4F81">
      <w:pPr>
        <w:ind w:firstLine="720"/>
        <w:jc w:val="both"/>
      </w:pPr>
      <w:r>
        <w:rPr>
          <w:rStyle w:val="FootnoteReference"/>
        </w:rPr>
        <w:footnoteRef/>
      </w:r>
      <w:r>
        <w:rPr>
          <w:sz w:val="20"/>
          <w:szCs w:val="20"/>
        </w:rPr>
        <w:t xml:space="preserve">Glymph, </w:t>
      </w:r>
      <w:r>
        <w:rPr>
          <w:i/>
          <w:iCs/>
          <w:sz w:val="20"/>
          <w:szCs w:val="20"/>
        </w:rPr>
        <w:t>Out of the House of Bondage</w:t>
      </w:r>
      <w:r>
        <w:rPr>
          <w:sz w:val="20"/>
          <w:szCs w:val="20"/>
        </w:rPr>
        <w:t>, 122–23.</w:t>
      </w:r>
    </w:p>
  </w:footnote>
  <w:footnote w:id="21">
    <w:p w14:paraId="2CADF7F8" w14:textId="77777777" w:rsidR="00DD4F81" w:rsidRDefault="00DD4F81">
      <w:pPr>
        <w:ind w:firstLine="720"/>
        <w:jc w:val="both"/>
      </w:pPr>
      <w:r>
        <w:rPr>
          <w:rStyle w:val="FootnoteReference"/>
        </w:rPr>
        <w:footnoteRef/>
      </w:r>
      <w:r>
        <w:rPr>
          <w:sz w:val="20"/>
          <w:szCs w:val="20"/>
        </w:rPr>
        <w:t xml:space="preserve">Glymph, </w:t>
      </w:r>
      <w:r>
        <w:rPr>
          <w:i/>
          <w:iCs/>
          <w:sz w:val="20"/>
          <w:szCs w:val="20"/>
        </w:rPr>
        <w:t>Out of the House of Bondage</w:t>
      </w:r>
      <w:r>
        <w:rPr>
          <w:sz w:val="20"/>
          <w:szCs w:val="20"/>
        </w:rPr>
        <w:t>, 132.</w:t>
      </w:r>
    </w:p>
  </w:footnote>
  <w:footnote w:id="22">
    <w:p w14:paraId="290EC1A2" w14:textId="77777777" w:rsidR="00DD4F81" w:rsidRDefault="00DD4F81">
      <w:pPr>
        <w:ind w:firstLine="720"/>
        <w:jc w:val="both"/>
      </w:pPr>
      <w:r>
        <w:rPr>
          <w:rStyle w:val="FootnoteReference"/>
        </w:rPr>
        <w:footnoteRef/>
      </w:r>
      <w:r>
        <w:rPr>
          <w:sz w:val="20"/>
          <w:szCs w:val="20"/>
        </w:rPr>
        <w:t xml:space="preserve">Review of </w:t>
      </w:r>
      <w:r>
        <w:rPr>
          <w:i/>
          <w:iCs/>
          <w:sz w:val="20"/>
          <w:szCs w:val="20"/>
        </w:rPr>
        <w:t>Out of the House of Bondage</w:t>
      </w:r>
      <w:r>
        <w:rPr>
          <w:sz w:val="20"/>
          <w:szCs w:val="20"/>
        </w:rPr>
        <w:t xml:space="preserve">, by Thavolia Glymph, </w:t>
      </w:r>
      <w:r>
        <w:rPr>
          <w:i/>
          <w:iCs/>
          <w:sz w:val="20"/>
          <w:szCs w:val="20"/>
        </w:rPr>
        <w:t>Civil War Book Review</w:t>
      </w:r>
      <w:r>
        <w:rPr>
          <w:sz w:val="20"/>
          <w:szCs w:val="20"/>
        </w:rPr>
        <w:t xml:space="preserve"> (Baton Rouge: Louisiana State University, 2011).</w:t>
      </w:r>
    </w:p>
  </w:footnote>
  <w:footnote w:id="23">
    <w:p w14:paraId="362723D7" w14:textId="4626529A" w:rsidR="00DD4F81" w:rsidRDefault="00DD4F81">
      <w:pPr>
        <w:ind w:firstLine="720"/>
        <w:jc w:val="both"/>
      </w:pPr>
      <w:r>
        <w:rPr>
          <w:rStyle w:val="FootnoteReference"/>
        </w:rPr>
        <w:footnoteRef/>
      </w:r>
      <w:r>
        <w:rPr>
          <w:sz w:val="20"/>
          <w:szCs w:val="20"/>
        </w:rPr>
        <w:fldChar w:fldCharType="begin"/>
      </w:r>
      <w:r>
        <w:rPr>
          <w:sz w:val="20"/>
          <w:szCs w:val="20"/>
        </w:rPr>
        <w:instrText xml:space="preserve"> ADDIN ZOTERO_ITEM CSL_CITATION {"citationID":"xBnCYLLG","properties":{"formattedCitation":"Stephanie E. Jones-Rogers, {\\i{}They Were Her Property: White Women as Slave Owners in the American South} (Yale University Press, 2019), https://doi.org/10.2307/j.ctvbnm3fz.","plainCitation":"Stephanie E. Jones-Rogers, They Were Her Property: White Women as Slave Owners in the American South (Yale University Press, 2019), https://doi.org/10.2307/j.ctvbnm3fz.","noteIndex":23},"citationItems":[{"id":17003,"uris":["http://zotero.org/users/local/tDp9ODyy/items/IVEF7WH9"],"itemData":{"id":17003,"type":"book","abstract":"A bold and searing investigation into the role of white women in the American slave economy    Bridging women's history, the history of the South, and African American history, this book makes a bold argument about the role of white women in American slavery. Historian Stephanie E. Jones-Rogers draws on a variety of sources to show that slave†'owning women were sophisticated economic actors who directly engaged in and benefited from the South's slave market. Because women typically inherited more slaves than land, enslaved people were often their primary source of wealth. Not only did white women often refuse to cede ownership of their slaves to their husbands, they employed management techniques that were as effective and brutal as those used by slave†'owning men. White women actively participated in the slave market, profited from it, and used it for economic and social empowerment. By examining the economically entangled lives of enslaved people and slave†'owning women, Jones-Rogers presents a narrative that forces us to rethink the economics and social conventions of slaveholding America.","DOI":"10.2307/j.ctvbnm3fz","ISBN":"978-0-300-21866-4","publisher":"Yale University Press","source":"JSTOR","title":"They Were Her Property: White Women as Slave Owners in the American South","title-short":"They Were Her Property","URL":"https://www.jstor.org/stable/j.ctvbnm3fz","author":[{"family":"Jones-Rogers","given":"Stephanie E."}],"accessed":{"date-parts":[["2026",4,28]]},"issued":{"date-parts":[["2019"]]}}}],"schema":"https://github.com/citation-style-language/schema/raw/master/csl-citation.json"} </w:instrText>
      </w:r>
      <w:r>
        <w:rPr>
          <w:sz w:val="20"/>
          <w:szCs w:val="20"/>
        </w:rPr>
        <w:fldChar w:fldCharType="separate"/>
      </w:r>
      <w:r w:rsidRPr="00F8713F">
        <w:rPr>
          <w:sz w:val="20"/>
        </w:rPr>
        <w:t xml:space="preserve">Stephanie E. Jones-Rogers, </w:t>
      </w:r>
      <w:r w:rsidRPr="00F8713F">
        <w:rPr>
          <w:i/>
          <w:iCs/>
          <w:sz w:val="20"/>
        </w:rPr>
        <w:t>They Were Her Property: White Women as Slave Owners in the American South</w:t>
      </w:r>
      <w:r w:rsidRPr="00F8713F">
        <w:rPr>
          <w:sz w:val="20"/>
        </w:rPr>
        <w:t xml:space="preserve"> (Yale University Press, 2019), https://doi.org/10.2307/j.ctvbnm3fz.</w:t>
      </w:r>
      <w:r>
        <w:rPr>
          <w:sz w:val="20"/>
          <w:szCs w:val="20"/>
        </w:rPr>
        <w:fldChar w:fldCharType="end"/>
      </w:r>
    </w:p>
  </w:footnote>
  <w:footnote w:id="24">
    <w:p w14:paraId="1696CD98" w14:textId="77777777" w:rsidR="00DD4F81" w:rsidRDefault="00DD4F81">
      <w:pPr>
        <w:ind w:firstLine="720"/>
        <w:jc w:val="both"/>
      </w:pPr>
      <w:r>
        <w:rPr>
          <w:rStyle w:val="FootnoteReference"/>
        </w:rPr>
        <w:footnoteRef/>
      </w:r>
      <w:r>
        <w:rPr>
          <w:sz w:val="20"/>
          <w:szCs w:val="20"/>
        </w:rPr>
        <w:t xml:space="preserve">Jones-Rogers, </w:t>
      </w:r>
      <w:r>
        <w:rPr>
          <w:i/>
          <w:iCs/>
          <w:sz w:val="20"/>
          <w:szCs w:val="20"/>
        </w:rPr>
        <w:t>They Were Her Property</w:t>
      </w:r>
      <w:r>
        <w:rPr>
          <w:sz w:val="20"/>
          <w:szCs w:val="20"/>
        </w:rPr>
        <w:t>, xiii.</w:t>
      </w:r>
    </w:p>
  </w:footnote>
  <w:footnote w:id="25">
    <w:p w14:paraId="3259F592" w14:textId="77777777" w:rsidR="00DD4F81" w:rsidRDefault="00DD4F81">
      <w:pPr>
        <w:ind w:firstLine="720"/>
        <w:jc w:val="both"/>
      </w:pPr>
      <w:r>
        <w:rPr>
          <w:rStyle w:val="FootnoteReference"/>
        </w:rPr>
        <w:footnoteRef/>
      </w:r>
      <w:r>
        <w:rPr>
          <w:sz w:val="20"/>
          <w:szCs w:val="20"/>
        </w:rPr>
        <w:t xml:space="preserve">Jones-Rogers, </w:t>
      </w:r>
      <w:r>
        <w:rPr>
          <w:i/>
          <w:iCs/>
          <w:sz w:val="20"/>
          <w:szCs w:val="20"/>
        </w:rPr>
        <w:t>They Were Her Property</w:t>
      </w:r>
      <w:r>
        <w:rPr>
          <w:sz w:val="20"/>
          <w:szCs w:val="20"/>
        </w:rPr>
        <w:t>, xiii.</w:t>
      </w:r>
    </w:p>
  </w:footnote>
  <w:footnote w:id="26">
    <w:p w14:paraId="402EA21A" w14:textId="77777777" w:rsidR="00DD4F81" w:rsidRDefault="00DD4F81">
      <w:pPr>
        <w:ind w:firstLine="720"/>
        <w:jc w:val="both"/>
      </w:pPr>
      <w:r>
        <w:rPr>
          <w:rStyle w:val="FootnoteReference"/>
        </w:rPr>
        <w:footnoteRef/>
      </w:r>
      <w:r>
        <w:rPr>
          <w:sz w:val="20"/>
          <w:szCs w:val="20"/>
        </w:rPr>
        <w:t xml:space="preserve">Jones-Rogers, </w:t>
      </w:r>
      <w:r>
        <w:rPr>
          <w:i/>
          <w:iCs/>
          <w:sz w:val="20"/>
          <w:szCs w:val="20"/>
        </w:rPr>
        <w:t>They Were Her Property</w:t>
      </w:r>
      <w:r>
        <w:rPr>
          <w:sz w:val="20"/>
          <w:szCs w:val="20"/>
        </w:rPr>
        <w:t>, 43–47.</w:t>
      </w:r>
    </w:p>
  </w:footnote>
  <w:footnote w:id="27">
    <w:p w14:paraId="580DA4E6" w14:textId="77777777" w:rsidR="00DD4F81" w:rsidRDefault="00DD4F81">
      <w:pPr>
        <w:ind w:firstLine="720"/>
        <w:jc w:val="both"/>
      </w:pPr>
      <w:r>
        <w:rPr>
          <w:rStyle w:val="FootnoteReference"/>
        </w:rPr>
        <w:footnoteRef/>
      </w:r>
      <w:r>
        <w:rPr>
          <w:sz w:val="20"/>
          <w:szCs w:val="20"/>
        </w:rPr>
        <w:t xml:space="preserve">Jones-Rogers, </w:t>
      </w:r>
      <w:r>
        <w:rPr>
          <w:i/>
          <w:iCs/>
          <w:sz w:val="20"/>
          <w:szCs w:val="20"/>
        </w:rPr>
        <w:t>They Were Her Property</w:t>
      </w:r>
      <w:r>
        <w:rPr>
          <w:sz w:val="20"/>
          <w:szCs w:val="20"/>
        </w:rPr>
        <w:t>, 43–48.</w:t>
      </w:r>
    </w:p>
  </w:footnote>
  <w:footnote w:id="28">
    <w:p w14:paraId="1E7BE326" w14:textId="31F55D2C" w:rsidR="00DD4F81" w:rsidRDefault="00DD4F81">
      <w:pPr>
        <w:ind w:firstLine="720"/>
        <w:jc w:val="both"/>
      </w:pPr>
      <w:r>
        <w:rPr>
          <w:rStyle w:val="FootnoteReference"/>
        </w:rPr>
        <w:footnoteRef/>
      </w:r>
      <w:r>
        <w:rPr>
          <w:sz w:val="20"/>
          <w:szCs w:val="20"/>
        </w:rPr>
        <w:fldChar w:fldCharType="begin"/>
      </w:r>
      <w:r>
        <w:rPr>
          <w:sz w:val="20"/>
          <w:szCs w:val="20"/>
        </w:rPr>
        <w:instrText xml:space="preserve"> ADDIN ZOTERO_ITEM CSL_CITATION {"citationID":"lfmSBZw0","properties":{"formattedCitation":"Parul Sehgal, \\uc0\\u8220{}White Women Were Avid Slaveowners, a New Book Shows,\\uc0\\u8221{} Books, {\\i{}The New York Times}, February 26, 2019, https://www.nytimes.com/2019/02/26/books/review-they-were-her-property-white-women-slave-owners-stephanie-jones-rogers.html.","plainCitation":"Parul Sehgal, “White Women Were Avid Slaveowners, a New Book Shows,” Books, The New York Times, February 26, 2019, https://www.nytimes.com/2019/02/26/books/review-they-were-her-property-white-women-slave-owners-stephanie-jones-rogers.html.","noteIndex":28},"citationItems":[{"id":17001,"uris":["http://zotero.org/users/local/tDp9ODyy/items/LDCJVBJE"],"itemData":{"id":17001,"type":"article-newspaper","abstract":"In “They Were Her Property,” the historian Stephanie E. Jones-Rogers uncovers “hitherto hidden relationships among gender, slavery and capitalism.”","container-title":"The New York Times","ISSN":"0362-4331","language":"en-US","section":"Books","source":"NYTimes.com","title":"White Women Were Avid Slaveowners, a New Book Shows","URL":"https://www.nytimes.com/2019/02/26/books/review-they-were-her-property-white-women-slave-owners-stephanie-jones-rogers.html","author":[{"family":"Sehgal","given":"Parul"}],"accessed":{"date-parts":[["2026",4,28]]},"issued":{"date-parts":[["2019",2,26]]}}}],"schema":"https://github.com/citation-style-language/schema/raw/master/csl-citation.json"} </w:instrText>
      </w:r>
      <w:r>
        <w:rPr>
          <w:sz w:val="20"/>
          <w:szCs w:val="20"/>
        </w:rPr>
        <w:fldChar w:fldCharType="separate"/>
      </w:r>
      <w:r w:rsidRPr="000D3F01">
        <w:rPr>
          <w:sz w:val="20"/>
        </w:rPr>
        <w:t xml:space="preserve">Parul Sehgal, “White Women Were Avid Slaveowners, a New Book Shows,” Books, </w:t>
      </w:r>
      <w:r w:rsidRPr="000D3F01">
        <w:rPr>
          <w:i/>
          <w:iCs/>
          <w:sz w:val="20"/>
        </w:rPr>
        <w:t>The New York Times</w:t>
      </w:r>
      <w:r w:rsidRPr="000D3F01">
        <w:rPr>
          <w:sz w:val="20"/>
        </w:rPr>
        <w:t>, February 26, 2019, https://www.nytimes.com/2019/02/26/books/review-they-were-her-property-white-women-slave-owners-stephanie-jones-rogers.html.</w:t>
      </w:r>
      <w:r>
        <w:rPr>
          <w:sz w:val="20"/>
          <w:szCs w:val="20"/>
        </w:rPr>
        <w:fldChar w:fldCharType="end"/>
      </w:r>
    </w:p>
  </w:footnote>
  <w:footnote w:id="29">
    <w:p w14:paraId="11C5E93F" w14:textId="77777777" w:rsidR="00DD4F81" w:rsidRDefault="00DD4F81">
      <w:pPr>
        <w:ind w:firstLine="720"/>
        <w:jc w:val="both"/>
      </w:pPr>
      <w:r>
        <w:rPr>
          <w:rStyle w:val="FootnoteReference"/>
        </w:rPr>
        <w:footnoteRef/>
      </w:r>
      <w:r>
        <w:rPr>
          <w:sz w:val="20"/>
          <w:szCs w:val="20"/>
        </w:rPr>
        <w:t xml:space="preserve">Jones-Rogers, </w:t>
      </w:r>
      <w:r>
        <w:rPr>
          <w:i/>
          <w:iCs/>
          <w:sz w:val="20"/>
          <w:szCs w:val="20"/>
        </w:rPr>
        <w:t>They Were Her Property</w:t>
      </w:r>
      <w:r>
        <w:rPr>
          <w:sz w:val="20"/>
          <w:szCs w:val="20"/>
        </w:rPr>
        <w:t>, 26–31.</w:t>
      </w:r>
    </w:p>
  </w:footnote>
  <w:footnote w:id="30">
    <w:p w14:paraId="7091D174" w14:textId="77777777" w:rsidR="00DD4F81" w:rsidRDefault="00DD4F81">
      <w:pPr>
        <w:ind w:firstLine="720"/>
        <w:jc w:val="both"/>
      </w:pPr>
      <w:r>
        <w:rPr>
          <w:rStyle w:val="FootnoteReference"/>
        </w:rPr>
        <w:footnoteRef/>
      </w:r>
      <w:r>
        <w:rPr>
          <w:sz w:val="20"/>
          <w:szCs w:val="20"/>
        </w:rPr>
        <w:t xml:space="preserve">Jones-Rogers, </w:t>
      </w:r>
      <w:r>
        <w:rPr>
          <w:i/>
          <w:iCs/>
          <w:sz w:val="20"/>
          <w:szCs w:val="20"/>
        </w:rPr>
        <w:t>They Were Her Property</w:t>
      </w:r>
      <w:r>
        <w:rPr>
          <w:sz w:val="20"/>
          <w:szCs w:val="20"/>
        </w:rPr>
        <w:t>, 178–84.</w:t>
      </w:r>
    </w:p>
  </w:footnote>
  <w:footnote w:id="31">
    <w:p w14:paraId="251D387E" w14:textId="6D2F354A" w:rsidR="00DD4F81" w:rsidRDefault="00DD4F81">
      <w:pPr>
        <w:ind w:firstLine="720"/>
        <w:jc w:val="both"/>
      </w:pPr>
      <w:r>
        <w:rPr>
          <w:rStyle w:val="FootnoteReference"/>
        </w:rPr>
        <w:footnoteRef/>
      </w:r>
      <w:r>
        <w:rPr>
          <w:sz w:val="20"/>
          <w:szCs w:val="20"/>
        </w:rPr>
        <w:fldChar w:fldCharType="begin"/>
      </w:r>
      <w:r>
        <w:rPr>
          <w:sz w:val="20"/>
          <w:szCs w:val="20"/>
        </w:rPr>
        <w:instrText xml:space="preserve"> ADDIN ZOTERO_ITEM CSL_CITATION {"citationID":"hxMPrZzS","properties":{"formattedCitation":"Franklin Obeng-Odoom, \\uc0\\u8220{}Review of Stephanie Jones-Rogers, They Were Her Property: White Women as Slave Owners in the American South, New Haven, CT: Yale University Press, 2019\\uc0\\u160{}Pp 296,\\uc0\\u8221{} {\\i{}Journal of Economics, Race, and Policy} 8, no. 2 (2025): 187\\uc0\\u8211{}88, https://doi.org/10.1007/s41996-025-00168-4.","plainCitation":"Franklin Obeng-Odoom, “Review of Stephanie Jones-Rogers, They Were Her Property: White Women as Slave Owners in the American South, New Haven, CT: Yale University Press, 2019 Pp 296,” Journal of Economics, Race, and Policy 8, no. 2 (2025): 187–88, https://doi.org/10.1007/s41996-025-00168-4.","noteIndex":31},"citationItems":[{"id":16998,"uris":["http://zotero.org/users/local/tDp9ODyy/items/LDFGVVDN"],"itemData":{"id":16998,"type":"article-journal","container-title":"Journal of Economics, Race, and Policy","DOI":"10.1007/s41996-025-00168-4","ISSN":"2520-842X","issue":"2","journalAbbreviation":"J Econ Race Policy","language":"en","page":"187-188","source":"Springer Link","title":"Review of Stephanie Jones-Rogers, They Were Her Property: White Women as Slave Owners in the American South, New Haven, CT: Yale University Press, 2019 pp 296","title-short":"Review of Stephanie Jones-Rogers, They Were Her Property","volume":"8","author":[{"family":"Obeng-Odoom","given":"Franklin"}],"issued":{"date-parts":[["2025",6,1]]}}}],"schema":"https://github.com/citation-style-language/schema/raw/master/csl-citation.json"} </w:instrText>
      </w:r>
      <w:r>
        <w:rPr>
          <w:sz w:val="20"/>
          <w:szCs w:val="20"/>
        </w:rPr>
        <w:fldChar w:fldCharType="separate"/>
      </w:r>
      <w:r w:rsidRPr="009A02E1">
        <w:rPr>
          <w:sz w:val="20"/>
        </w:rPr>
        <w:t xml:space="preserve">Franklin Obeng-Odoom, “Review of Stephanie Jones-Rogers, They Were Her Property: White Women as Slave Owners in the American South, New Haven, CT: Yale University Press, 2019 Pp 296,” </w:t>
      </w:r>
      <w:r w:rsidRPr="009A02E1">
        <w:rPr>
          <w:i/>
          <w:iCs/>
          <w:sz w:val="20"/>
        </w:rPr>
        <w:t>Journal of Economics, Race, and Policy</w:t>
      </w:r>
      <w:r w:rsidRPr="009A02E1">
        <w:rPr>
          <w:sz w:val="20"/>
        </w:rPr>
        <w:t xml:space="preserve"> 8, no. 2 (2025): 187–88, https://doi.org/10.1007/s41996-025-00168-4.</w:t>
      </w:r>
      <w:r>
        <w:rPr>
          <w:sz w:val="20"/>
          <w:szCs w:val="20"/>
        </w:rPr>
        <w:fldChar w:fldCharType="end"/>
      </w:r>
    </w:p>
  </w:footnote>
  <w:footnote w:id="32">
    <w:p w14:paraId="6D0CFC3B" w14:textId="5A0DDE88" w:rsidR="00DD4F81" w:rsidRDefault="00DD4F81">
      <w:pPr>
        <w:ind w:firstLine="720"/>
        <w:jc w:val="both"/>
      </w:pPr>
      <w:r>
        <w:rPr>
          <w:rStyle w:val="FootnoteReference"/>
        </w:rPr>
        <w:footnoteRef/>
      </w:r>
      <w:r>
        <w:rPr>
          <w:sz w:val="20"/>
          <w:szCs w:val="20"/>
        </w:rPr>
        <w:fldChar w:fldCharType="begin"/>
      </w:r>
      <w:r>
        <w:rPr>
          <w:sz w:val="20"/>
          <w:szCs w:val="20"/>
        </w:rPr>
        <w:instrText xml:space="preserve"> ADDIN ZOTERO_ITEM CSL_CITATION {"citationID":"sSbWLtgK","properties":{"formattedCitation":"Angela Serratore, \\uc0\\u8220{}The Ten Best History Books of 2019,\\uc0\\u8221{} Smithsonian Magazine, 2019, https://www.smithsonianmag.com/history/ten-best-history-books-2019-180973567/.","plainCitation":"Angela Serratore, “The Ten Best History Books of 2019,” Smithsonian Magazine, 2019, https://www.smithsonianmag.com/history/ten-best-history-books-2019-180973567/.","noteIndex":32},"citationItems":[{"id":17006,"uris":["http://zotero.org/users/local/tDp9ODyy/items/A6RZ7HK3"],"itemData":{"id":17006,"type":"webpage","abstract":"Our favorite titles of the year resurrect forgotten histories and help explain how we got to where we are today","container-title":"Smithsonian Magazine","language":"en","note":"section: History, Arts &amp; Culture, , Books, , Articles","title":"The Ten Best History Books of 2019","URL":"https://www.smithsonianmag.com/history/ten-best-history-books-2019-180973567/","author":[{"family":"Serratore","given":"Angela"}],"accessed":{"date-parts":[["2026",4,28]]},"issued":{"date-parts":[["2019"]]}}}],"schema":"https://github.com/citation-style-language/schema/raw/master/csl-citation.json"} </w:instrText>
      </w:r>
      <w:r>
        <w:rPr>
          <w:sz w:val="20"/>
          <w:szCs w:val="20"/>
        </w:rPr>
        <w:fldChar w:fldCharType="separate"/>
      </w:r>
      <w:r w:rsidRPr="000D3F01">
        <w:rPr>
          <w:sz w:val="20"/>
        </w:rPr>
        <w:t>Angela Serratore, “The Ten Best History Books of 2019,” Smithsonian Magazine, 2019, https://www.smithsonianmag.com/history/ten-best-history-books-2019-180973567/.</w:t>
      </w:r>
      <w:r>
        <w:rPr>
          <w:sz w:val="20"/>
          <w:szCs w:val="20"/>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1A3E" w14:textId="05ADC4C7" w:rsidR="00DD4F81" w:rsidRDefault="00DD4F81">
    <w:pPr>
      <w:pStyle w:val="Header"/>
      <w:jc w:val="right"/>
    </w:pPr>
    <w:r>
      <w:t xml:space="preserve">Last Name </w:t>
    </w:r>
    <w:sdt>
      <w:sdtPr>
        <w:id w:val="-2030171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347B6">
          <w:rPr>
            <w:noProof/>
          </w:rPr>
          <w:t>3</w:t>
        </w:r>
        <w:r>
          <w:rPr>
            <w:noProof/>
          </w:rPr>
          <w:fldChar w:fldCharType="end"/>
        </w:r>
      </w:sdtContent>
    </w:sdt>
  </w:p>
  <w:p w14:paraId="24CBA3E8" w14:textId="77777777" w:rsidR="00DD4F81" w:rsidRDefault="00DD4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CFB"/>
    <w:multiLevelType w:val="hybridMultilevel"/>
    <w:tmpl w:val="1F3A5170"/>
    <w:lvl w:ilvl="0" w:tplc="AAF615DA">
      <w:start w:val="1"/>
      <w:numFmt w:val="bullet"/>
      <w:lvlText w:val="●"/>
      <w:lvlJc w:val="left"/>
      <w:pPr>
        <w:ind w:left="720" w:hanging="360"/>
      </w:pPr>
    </w:lvl>
    <w:lvl w:ilvl="1" w:tplc="C6AC55C6">
      <w:start w:val="1"/>
      <w:numFmt w:val="bullet"/>
      <w:lvlText w:val="○"/>
      <w:lvlJc w:val="left"/>
      <w:pPr>
        <w:ind w:left="1440" w:hanging="360"/>
      </w:pPr>
    </w:lvl>
    <w:lvl w:ilvl="2" w:tplc="1C72C00E">
      <w:start w:val="1"/>
      <w:numFmt w:val="bullet"/>
      <w:lvlText w:val="■"/>
      <w:lvlJc w:val="left"/>
      <w:pPr>
        <w:ind w:left="2160" w:hanging="360"/>
      </w:pPr>
    </w:lvl>
    <w:lvl w:ilvl="3" w:tplc="89224D3A">
      <w:start w:val="1"/>
      <w:numFmt w:val="bullet"/>
      <w:lvlText w:val="●"/>
      <w:lvlJc w:val="left"/>
      <w:pPr>
        <w:ind w:left="2880" w:hanging="360"/>
      </w:pPr>
    </w:lvl>
    <w:lvl w:ilvl="4" w:tplc="104C8054">
      <w:start w:val="1"/>
      <w:numFmt w:val="bullet"/>
      <w:lvlText w:val="○"/>
      <w:lvlJc w:val="left"/>
      <w:pPr>
        <w:ind w:left="3600" w:hanging="360"/>
      </w:pPr>
    </w:lvl>
    <w:lvl w:ilvl="5" w:tplc="A0D6C4CE">
      <w:start w:val="1"/>
      <w:numFmt w:val="bullet"/>
      <w:lvlText w:val="■"/>
      <w:lvlJc w:val="left"/>
      <w:pPr>
        <w:ind w:left="4320" w:hanging="360"/>
      </w:pPr>
    </w:lvl>
    <w:lvl w:ilvl="6" w:tplc="A27856EA">
      <w:start w:val="1"/>
      <w:numFmt w:val="bullet"/>
      <w:lvlText w:val="●"/>
      <w:lvlJc w:val="left"/>
      <w:pPr>
        <w:ind w:left="5040" w:hanging="360"/>
      </w:pPr>
    </w:lvl>
    <w:lvl w:ilvl="7" w:tplc="B628BC3C">
      <w:start w:val="1"/>
      <w:numFmt w:val="bullet"/>
      <w:lvlText w:val="●"/>
      <w:lvlJc w:val="left"/>
      <w:pPr>
        <w:ind w:left="5760" w:hanging="360"/>
      </w:pPr>
    </w:lvl>
    <w:lvl w:ilvl="8" w:tplc="BE50A6DE">
      <w:start w:val="1"/>
      <w:numFmt w:val="bullet"/>
      <w:lvlText w:val="●"/>
      <w:lvlJc w:val="left"/>
      <w:pPr>
        <w:ind w:left="6480" w:hanging="360"/>
      </w:pPr>
    </w:lvl>
  </w:abstractNum>
  <w:num w:numId="1" w16cid:durableId="192690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QwNjAwMDQzMrO0sLRQ0lEKTi0uzszPAykwrgUA9cAbZiwAAAA="/>
  </w:docVars>
  <w:rsids>
    <w:rsidRoot w:val="00210486"/>
    <w:rsid w:val="00092825"/>
    <w:rsid w:val="000C4352"/>
    <w:rsid w:val="000D3F01"/>
    <w:rsid w:val="000F0176"/>
    <w:rsid w:val="00137ED0"/>
    <w:rsid w:val="00210486"/>
    <w:rsid w:val="00255614"/>
    <w:rsid w:val="004034D4"/>
    <w:rsid w:val="00442EB3"/>
    <w:rsid w:val="004654BC"/>
    <w:rsid w:val="0051686E"/>
    <w:rsid w:val="006321CB"/>
    <w:rsid w:val="00665A60"/>
    <w:rsid w:val="007336A0"/>
    <w:rsid w:val="007B2FDA"/>
    <w:rsid w:val="007F2C32"/>
    <w:rsid w:val="007F6AF6"/>
    <w:rsid w:val="00835CBD"/>
    <w:rsid w:val="00946233"/>
    <w:rsid w:val="0097460C"/>
    <w:rsid w:val="00992C6D"/>
    <w:rsid w:val="009A02E1"/>
    <w:rsid w:val="00A1374C"/>
    <w:rsid w:val="00A40A91"/>
    <w:rsid w:val="00A64FEF"/>
    <w:rsid w:val="00B11720"/>
    <w:rsid w:val="00B75E56"/>
    <w:rsid w:val="00D65657"/>
    <w:rsid w:val="00DD4F81"/>
    <w:rsid w:val="00E06571"/>
    <w:rsid w:val="00F14021"/>
    <w:rsid w:val="00F347B6"/>
    <w:rsid w:val="00F8713F"/>
    <w:rsid w:val="00FC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4625"/>
  <w15:docId w15:val="{F3208D78-D35B-470E-9299-85D317A8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ibliography">
    <w:name w:val="Bibliography"/>
    <w:basedOn w:val="Normal"/>
    <w:next w:val="Normal"/>
    <w:uiPriority w:val="37"/>
    <w:unhideWhenUsed/>
    <w:rsid w:val="00F8713F"/>
    <w:pPr>
      <w:spacing w:after="240"/>
      <w:ind w:left="720" w:hanging="720"/>
    </w:pPr>
  </w:style>
  <w:style w:type="paragraph" w:styleId="Header">
    <w:name w:val="header"/>
    <w:basedOn w:val="Normal"/>
    <w:link w:val="HeaderChar"/>
    <w:uiPriority w:val="99"/>
    <w:unhideWhenUsed/>
    <w:rsid w:val="007F2C32"/>
    <w:pPr>
      <w:tabs>
        <w:tab w:val="center" w:pos="4680"/>
        <w:tab w:val="right" w:pos="9360"/>
      </w:tabs>
    </w:pPr>
  </w:style>
  <w:style w:type="character" w:customStyle="1" w:styleId="HeaderChar">
    <w:name w:val="Header Char"/>
    <w:basedOn w:val="DefaultParagraphFont"/>
    <w:link w:val="Header"/>
    <w:uiPriority w:val="99"/>
    <w:rsid w:val="007F2C32"/>
  </w:style>
  <w:style w:type="paragraph" w:styleId="Footer">
    <w:name w:val="footer"/>
    <w:basedOn w:val="Normal"/>
    <w:link w:val="FooterChar"/>
    <w:uiPriority w:val="99"/>
    <w:unhideWhenUsed/>
    <w:rsid w:val="007F2C32"/>
    <w:pPr>
      <w:tabs>
        <w:tab w:val="center" w:pos="4680"/>
        <w:tab w:val="right" w:pos="9360"/>
      </w:tabs>
    </w:pPr>
  </w:style>
  <w:style w:type="character" w:customStyle="1" w:styleId="FooterChar">
    <w:name w:val="Footer Char"/>
    <w:basedOn w:val="DefaultParagraphFont"/>
    <w:link w:val="Footer"/>
    <w:uiPriority w:val="99"/>
    <w:rsid w:val="007F2C32"/>
  </w:style>
  <w:style w:type="character" w:styleId="CommentReference">
    <w:name w:val="annotation reference"/>
    <w:basedOn w:val="DefaultParagraphFont"/>
    <w:uiPriority w:val="99"/>
    <w:semiHidden/>
    <w:unhideWhenUsed/>
    <w:rsid w:val="00DD4F81"/>
    <w:rPr>
      <w:sz w:val="16"/>
      <w:szCs w:val="16"/>
    </w:rPr>
  </w:style>
  <w:style w:type="paragraph" w:styleId="CommentText">
    <w:name w:val="annotation text"/>
    <w:basedOn w:val="Normal"/>
    <w:link w:val="CommentTextChar"/>
    <w:uiPriority w:val="99"/>
    <w:semiHidden/>
    <w:unhideWhenUsed/>
    <w:rsid w:val="00DD4F81"/>
    <w:rPr>
      <w:sz w:val="20"/>
      <w:szCs w:val="20"/>
    </w:rPr>
  </w:style>
  <w:style w:type="character" w:customStyle="1" w:styleId="CommentTextChar">
    <w:name w:val="Comment Text Char"/>
    <w:basedOn w:val="DefaultParagraphFont"/>
    <w:link w:val="CommentText"/>
    <w:uiPriority w:val="99"/>
    <w:semiHidden/>
    <w:rsid w:val="00DD4F81"/>
    <w:rPr>
      <w:sz w:val="20"/>
      <w:szCs w:val="20"/>
    </w:rPr>
  </w:style>
  <w:style w:type="paragraph" w:styleId="CommentSubject">
    <w:name w:val="annotation subject"/>
    <w:basedOn w:val="CommentText"/>
    <w:next w:val="CommentText"/>
    <w:link w:val="CommentSubjectChar"/>
    <w:uiPriority w:val="99"/>
    <w:semiHidden/>
    <w:unhideWhenUsed/>
    <w:rsid w:val="00DD4F81"/>
    <w:rPr>
      <w:b/>
      <w:bCs/>
    </w:rPr>
  </w:style>
  <w:style w:type="character" w:customStyle="1" w:styleId="CommentSubjectChar">
    <w:name w:val="Comment Subject Char"/>
    <w:basedOn w:val="CommentTextChar"/>
    <w:link w:val="CommentSubject"/>
    <w:uiPriority w:val="99"/>
    <w:semiHidden/>
    <w:rsid w:val="00DD4F81"/>
    <w:rPr>
      <w:b/>
      <w:bCs/>
      <w:sz w:val="20"/>
      <w:szCs w:val="20"/>
    </w:rPr>
  </w:style>
  <w:style w:type="paragraph" w:styleId="BalloonText">
    <w:name w:val="Balloon Text"/>
    <w:basedOn w:val="Normal"/>
    <w:link w:val="BalloonTextChar"/>
    <w:uiPriority w:val="99"/>
    <w:semiHidden/>
    <w:unhideWhenUsed/>
    <w:rsid w:val="00DD4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xyz</cp:lastModifiedBy>
  <cp:revision>2</cp:revision>
  <dcterms:created xsi:type="dcterms:W3CDTF">2026-04-30T11:04:00Z</dcterms:created>
  <dcterms:modified xsi:type="dcterms:W3CDTF">2026-04-30T20:33:00Z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id="IdiOYFXc"/&gt;&lt;style id="http://www.zotero.org/styles/chicago-notes-bibliography" locale="en-US" hasBibliography="1" bibliographyStyleHasBeenSet="1"/&gt;&lt;prefs&gt;&lt;pref name="fieldType" value="Field"/&gt;&lt;pre</vt:lpwstr>
  </property>
  <property fmtid="{D5CDD505-2E9C-101B-9397-08002B2CF9AE}" pid="3" name="ZOTERO_PREF_2">
    <vt:lpwstr>f name="automaticJournalAbbreviations" value="true"/&gt;&lt;pref name="noteType" value="1"/&gt;&lt;/prefs&gt;&lt;/data&gt;</vt:lpwstr>
  </property>
</Properties>
</file>