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706F36" w:rsidRDefault="00CC4140" w:rsidP="00706F36">
      <w:pPr>
        <w:spacing w:line="480" w:lineRule="auto"/>
        <w:ind w:firstLine="720"/>
        <w:jc w:val="center"/>
        <w:rPr>
          <w:rFonts w:ascii="Times New Roman" w:eastAsia="Times New Roman" w:hAnsi="Times New Roman" w:cs="Times New Roman"/>
          <w:b/>
          <w:bCs/>
          <w:sz w:val="24"/>
          <w:szCs w:val="24"/>
        </w:rPr>
      </w:pPr>
    </w:p>
    <w:p w14:paraId="4A31F496" w14:textId="282DE205" w:rsidR="007B184A" w:rsidRPr="00706F36" w:rsidRDefault="00D2039A" w:rsidP="00706F36">
      <w:pPr>
        <w:spacing w:line="480" w:lineRule="auto"/>
        <w:jc w:val="center"/>
        <w:rPr>
          <w:rFonts w:ascii="Times New Roman" w:hAnsi="Times New Roman" w:cs="Times New Roman"/>
          <w:b/>
          <w:bCs/>
          <w:sz w:val="24"/>
          <w:szCs w:val="24"/>
        </w:rPr>
      </w:pPr>
      <w:r w:rsidRPr="00706F36">
        <w:rPr>
          <w:rFonts w:ascii="Times New Roman" w:hAnsi="Times New Roman" w:cs="Times New Roman"/>
          <w:b/>
          <w:bCs/>
          <w:sz w:val="24"/>
          <w:szCs w:val="24"/>
        </w:rPr>
        <w:t>WEEK III ESSAY: Interagency Disaster Management and Vulnerable Populations in Australia</w:t>
      </w:r>
    </w:p>
    <w:p w14:paraId="470D461E" w14:textId="77777777" w:rsidR="00D2039A" w:rsidRPr="00706F36" w:rsidRDefault="00D2039A" w:rsidP="00706F36">
      <w:pPr>
        <w:spacing w:line="480" w:lineRule="auto"/>
        <w:jc w:val="center"/>
        <w:rPr>
          <w:rFonts w:ascii="Times New Roman" w:hAnsi="Times New Roman" w:cs="Times New Roman"/>
          <w:b/>
          <w:bCs/>
          <w:sz w:val="24"/>
          <w:szCs w:val="24"/>
        </w:rPr>
      </w:pPr>
    </w:p>
    <w:p w14:paraId="4643785F" w14:textId="19A0D5AC"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Name of Author</w:t>
      </w:r>
    </w:p>
    <w:p w14:paraId="256DA357" w14:textId="77777777"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Instructor Name</w:t>
      </w:r>
    </w:p>
    <w:p w14:paraId="7A1FF760" w14:textId="2D3FD8A0"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Institution</w:t>
      </w:r>
    </w:p>
    <w:p w14:paraId="3762159C" w14:textId="77777777" w:rsidR="00FB4A59"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Course Code and Number</w:t>
      </w:r>
    </w:p>
    <w:p w14:paraId="48E3E5B3" w14:textId="44BEEE35" w:rsidR="00D832DD" w:rsidRPr="00706F36" w:rsidRDefault="00000000" w:rsidP="00706F36">
      <w:pPr>
        <w:spacing w:line="480" w:lineRule="auto"/>
        <w:jc w:val="center"/>
        <w:rPr>
          <w:rFonts w:ascii="Times New Roman" w:eastAsia="Times New Roman" w:hAnsi="Times New Roman" w:cs="Times New Roman"/>
          <w:sz w:val="24"/>
          <w:szCs w:val="24"/>
        </w:rPr>
      </w:pPr>
      <w:r w:rsidRPr="00706F36">
        <w:rPr>
          <w:rFonts w:ascii="Times New Roman" w:eastAsia="Times New Roman" w:hAnsi="Times New Roman" w:cs="Times New Roman"/>
          <w:sz w:val="24"/>
          <w:szCs w:val="24"/>
        </w:rPr>
        <w:t xml:space="preserve">Date </w:t>
      </w:r>
    </w:p>
    <w:p w14:paraId="69EFF0AC" w14:textId="77777777" w:rsidR="00D832DD" w:rsidRPr="00706F36" w:rsidRDefault="00000000" w:rsidP="00706F36">
      <w:pPr>
        <w:spacing w:line="480" w:lineRule="auto"/>
        <w:rPr>
          <w:rFonts w:ascii="Times New Roman" w:hAnsi="Times New Roman" w:cs="Times New Roman"/>
          <w:sz w:val="24"/>
          <w:szCs w:val="24"/>
        </w:rPr>
      </w:pPr>
      <w:r w:rsidRPr="00706F36">
        <w:rPr>
          <w:rFonts w:ascii="Times New Roman" w:hAnsi="Times New Roman" w:cs="Times New Roman"/>
          <w:sz w:val="24"/>
          <w:szCs w:val="24"/>
        </w:rPr>
        <w:br w:type="page"/>
      </w:r>
    </w:p>
    <w:p w14:paraId="631767C4" w14:textId="77777777" w:rsidR="00D2039A" w:rsidRPr="00706F36" w:rsidRDefault="00D2039A" w:rsidP="00706F36">
      <w:pPr>
        <w:pStyle w:val="NormalWeb"/>
        <w:spacing w:line="480" w:lineRule="auto"/>
        <w:jc w:val="center"/>
        <w:rPr>
          <w:b/>
          <w:bCs/>
        </w:rPr>
      </w:pPr>
      <w:r w:rsidRPr="00706F36">
        <w:rPr>
          <w:b/>
          <w:bCs/>
        </w:rPr>
        <w:lastRenderedPageBreak/>
        <w:t xml:space="preserve">WEEK III ESSAY: Interagency Disaster </w:t>
      </w:r>
      <w:commentRangeStart w:id="0"/>
      <w:r w:rsidRPr="00706F36">
        <w:rPr>
          <w:b/>
          <w:bCs/>
        </w:rPr>
        <w:t>Management</w:t>
      </w:r>
      <w:commentRangeEnd w:id="0"/>
      <w:r w:rsidR="0017269A" w:rsidRPr="00706F36">
        <w:rPr>
          <w:rStyle w:val="CommentReference"/>
          <w:b/>
          <w:bCs/>
          <w:sz w:val="24"/>
          <w:szCs w:val="24"/>
        </w:rPr>
        <w:commentReference w:id="0"/>
      </w:r>
      <w:r w:rsidRPr="00706F36">
        <w:rPr>
          <w:b/>
          <w:bCs/>
        </w:rPr>
        <w:t xml:space="preserve"> and Vulnerable Populations in Australia</w:t>
      </w:r>
    </w:p>
    <w:p w14:paraId="447D1908" w14:textId="2D20A6E7"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 xml:space="preserve">The geographic and climatic characteristics of Australia make it extremely vulnerable to any devastating natural disasters, with the severe bushfires being the most critical. The </w:t>
      </w:r>
      <w:commentRangeStart w:id="1"/>
      <w:r w:rsidRPr="00C02971">
        <w:rPr>
          <w:rFonts w:ascii="Times New Roman" w:hAnsi="Times New Roman" w:cs="Times New Roman"/>
          <w:sz w:val="24"/>
          <w:szCs w:val="24"/>
          <w:lang w:val="en-US"/>
        </w:rPr>
        <w:t xml:space="preserve">20192020 </w:t>
      </w:r>
      <w:commentRangeEnd w:id="1"/>
      <w:r w:rsidR="0017269A" w:rsidRPr="00C02971">
        <w:rPr>
          <w:rStyle w:val="CommentReference"/>
          <w:rFonts w:ascii="Times New Roman" w:hAnsi="Times New Roman" w:cs="Times New Roman"/>
          <w:sz w:val="24"/>
          <w:szCs w:val="24"/>
          <w:lang w:val="en-US"/>
        </w:rPr>
        <w:commentReference w:id="1"/>
      </w:r>
      <w:r w:rsidRPr="00C02971">
        <w:rPr>
          <w:rFonts w:ascii="Times New Roman" w:hAnsi="Times New Roman" w:cs="Times New Roman"/>
          <w:sz w:val="24"/>
          <w:szCs w:val="24"/>
          <w:lang w:val="en-US"/>
        </w:rPr>
        <w:t xml:space="preserve">Black Summer bushfires have shown just how big such events can get, and why there is a need to have sound, interagency disaster management (Tangney et al., 2023). Being the head of an emergency planning team before a disaster, it is essential to determine certain risks and the groups of people most susceptible to them. In this case, the main risk is a disastrous bushfire, and the vulnerable population, in this case, consists of people with disabilities and chronic health conditions. Such an audience is disproportionately at risk in the event of an emergency, as it is limited in its functioning, depends on certain medical devices, and is impeded in receiving mainstream emergency alerts (Crapis et al., 2024). </w:t>
      </w:r>
      <w:commentRangeStart w:id="2"/>
      <w:r w:rsidRPr="00C02971">
        <w:rPr>
          <w:rFonts w:ascii="Times New Roman" w:hAnsi="Times New Roman" w:cs="Times New Roman"/>
          <w:sz w:val="24"/>
          <w:szCs w:val="24"/>
          <w:lang w:val="en-US"/>
        </w:rPr>
        <w:t>To ensure that there is a real resilience in the community</w:t>
      </w:r>
      <w:commentRangeEnd w:id="2"/>
      <w:r w:rsidR="0017269A" w:rsidRPr="00C02971">
        <w:rPr>
          <w:rStyle w:val="CommentReference"/>
          <w:rFonts w:ascii="Times New Roman" w:hAnsi="Times New Roman" w:cs="Times New Roman"/>
          <w:sz w:val="24"/>
          <w:szCs w:val="24"/>
          <w:lang w:val="en-US"/>
        </w:rPr>
        <w:commentReference w:id="2"/>
      </w:r>
      <w:r w:rsidRPr="00C02971">
        <w:rPr>
          <w:rFonts w:ascii="Times New Roman" w:hAnsi="Times New Roman" w:cs="Times New Roman"/>
          <w:sz w:val="24"/>
          <w:szCs w:val="24"/>
          <w:lang w:val="en-US"/>
        </w:rPr>
        <w:t xml:space="preserve">, it is </w:t>
      </w:r>
      <w:commentRangeStart w:id="3"/>
      <w:r w:rsidRPr="00C02971">
        <w:rPr>
          <w:rFonts w:ascii="Times New Roman" w:hAnsi="Times New Roman" w:cs="Times New Roman"/>
          <w:sz w:val="24"/>
          <w:szCs w:val="24"/>
          <w:lang w:val="en-US"/>
        </w:rPr>
        <w:t xml:space="preserve">important to have a solid disaster management framework that gives priority to the needs of this group of people. </w:t>
      </w:r>
      <w:commentRangeEnd w:id="3"/>
      <w:r w:rsidR="0017269A" w:rsidRPr="00C02971">
        <w:rPr>
          <w:rStyle w:val="CommentReference"/>
          <w:rFonts w:ascii="Times New Roman" w:hAnsi="Times New Roman" w:cs="Times New Roman"/>
          <w:sz w:val="24"/>
          <w:szCs w:val="24"/>
          <w:lang w:val="en-US"/>
        </w:rPr>
        <w:commentReference w:id="3"/>
      </w:r>
    </w:p>
    <w:p w14:paraId="2AEA9882" w14:textId="04E96F19" w:rsidR="00505682" w:rsidRPr="00706F36"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t>Situational Awareness and Communication Strategies</w:t>
      </w:r>
    </w:p>
    <w:p w14:paraId="1E0C3214" w14:textId="77777777"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 xml:space="preserve">Successful disaster preparedness is based on precise situational awareness and direct communications. Before a bushfire, the priority of emergency planners should be on mapping the localized hazards zones, as well as the geographical distribution of highly vulnerable residents. </w:t>
      </w:r>
      <w:commentRangeStart w:id="4"/>
      <w:r w:rsidRPr="00706F36">
        <w:rPr>
          <w:rFonts w:ascii="Times New Roman" w:hAnsi="Times New Roman" w:cs="Times New Roman"/>
          <w:sz w:val="24"/>
          <w:szCs w:val="24"/>
          <w:lang w:val="en-US"/>
        </w:rPr>
        <w:t xml:space="preserve">An essential aspect of this situational awareness is that it should acknowledge how people with disabilities and their community-based service providers depend on each other (Crapis et al., 2024). </w:t>
      </w:r>
      <w:commentRangeEnd w:id="4"/>
      <w:r w:rsidR="0017269A" w:rsidRPr="00706F36">
        <w:rPr>
          <w:rStyle w:val="CommentReference"/>
          <w:rFonts w:ascii="Times New Roman" w:hAnsi="Times New Roman" w:cs="Times New Roman"/>
          <w:sz w:val="24"/>
          <w:szCs w:val="24"/>
          <w:lang w:val="en-US"/>
        </w:rPr>
        <w:commentReference w:id="4"/>
      </w:r>
      <w:commentRangeStart w:id="5"/>
      <w:r w:rsidRPr="00706F36">
        <w:rPr>
          <w:rFonts w:ascii="Times New Roman" w:hAnsi="Times New Roman" w:cs="Times New Roman"/>
          <w:sz w:val="24"/>
          <w:szCs w:val="24"/>
          <w:lang w:val="en-US"/>
        </w:rPr>
        <w:t xml:space="preserve">The level of preparedness in the community should be evaluated based on the capacity of these frontline health and disability workers since their own emergency preparedness is directly associated with their willingness to help their clients </w:t>
      </w:r>
      <w:commentRangeEnd w:id="5"/>
      <w:r w:rsidR="0017269A" w:rsidRPr="00706F36">
        <w:rPr>
          <w:rStyle w:val="CommentReference"/>
          <w:rFonts w:ascii="Times New Roman" w:hAnsi="Times New Roman" w:cs="Times New Roman"/>
          <w:sz w:val="24"/>
          <w:szCs w:val="24"/>
          <w:lang w:val="en-US"/>
        </w:rPr>
        <w:commentReference w:id="5"/>
      </w:r>
      <w:r w:rsidRPr="00706F36">
        <w:rPr>
          <w:rFonts w:ascii="Times New Roman" w:hAnsi="Times New Roman" w:cs="Times New Roman"/>
          <w:sz w:val="24"/>
          <w:szCs w:val="24"/>
          <w:lang w:val="en-US"/>
        </w:rPr>
        <w:t xml:space="preserve">(Crapis et al., 2024). </w:t>
      </w:r>
    </w:p>
    <w:p w14:paraId="54E9E834" w14:textId="67F7DDDB"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lastRenderedPageBreak/>
        <w:tab/>
      </w:r>
      <w:r w:rsidRPr="00C02971">
        <w:rPr>
          <w:rFonts w:ascii="Times New Roman" w:hAnsi="Times New Roman" w:cs="Times New Roman"/>
          <w:sz w:val="24"/>
          <w:szCs w:val="24"/>
          <w:lang w:val="en-US"/>
        </w:rPr>
        <w:t xml:space="preserve">The communication strategies should be well-designed to address the technological, cognitive, and linguistic barriers that often marginalize persons with disabilities in general emergency alerts (Crapis et al., 2024). The main focus is to deliver precise, authoritative risk data, which can be easily interpreted, to enable people to take proactive action (McArthur, 2020). To do this, emergency management teams </w:t>
      </w:r>
      <w:commentRangeStart w:id="6"/>
      <w:r w:rsidRPr="00C02971">
        <w:rPr>
          <w:rFonts w:ascii="Times New Roman" w:hAnsi="Times New Roman" w:cs="Times New Roman"/>
          <w:sz w:val="24"/>
          <w:szCs w:val="24"/>
          <w:lang w:val="en-US"/>
        </w:rPr>
        <w:t>need to involve the use of local service providers a</w:t>
      </w:r>
      <w:commentRangeEnd w:id="6"/>
      <w:r w:rsidR="0017269A" w:rsidRPr="00C02971">
        <w:rPr>
          <w:rStyle w:val="CommentReference"/>
          <w:rFonts w:ascii="Times New Roman" w:hAnsi="Times New Roman" w:cs="Times New Roman"/>
          <w:sz w:val="24"/>
          <w:szCs w:val="24"/>
          <w:lang w:val="en-US"/>
        </w:rPr>
        <w:commentReference w:id="6"/>
      </w:r>
      <w:r w:rsidRPr="00C02971">
        <w:rPr>
          <w:rFonts w:ascii="Times New Roman" w:hAnsi="Times New Roman" w:cs="Times New Roman"/>
          <w:sz w:val="24"/>
          <w:szCs w:val="24"/>
          <w:lang w:val="en-US"/>
        </w:rPr>
        <w:t xml:space="preserve">s communication channels. Since these professionals have a close knowledge of their clients and their specific functional needs and social contexts, they are best equipped to translate generic bushfire warnings into practicalized, personalized preparedness plans (Crapis et al., 2024). </w:t>
      </w:r>
    </w:p>
    <w:p w14:paraId="683C76DB" w14:textId="2C7E02E9" w:rsidR="00505682" w:rsidRPr="00505682" w:rsidRDefault="00505682" w:rsidP="00706F36">
      <w:pPr>
        <w:spacing w:line="480" w:lineRule="auto"/>
        <w:rPr>
          <w:rFonts w:ascii="Times New Roman" w:hAnsi="Times New Roman" w:cs="Times New Roman"/>
          <w:sz w:val="24"/>
          <w:szCs w:val="24"/>
          <w:lang w:val="en-US"/>
        </w:rPr>
      </w:pPr>
    </w:p>
    <w:p w14:paraId="650367F4" w14:textId="77777777" w:rsidR="00505682" w:rsidRPr="00706F36" w:rsidRDefault="00505682" w:rsidP="00706F36">
      <w:pPr>
        <w:spacing w:line="480" w:lineRule="auto"/>
        <w:jc w:val="center"/>
        <w:rPr>
          <w:rFonts w:ascii="Times New Roman" w:hAnsi="Times New Roman" w:cs="Times New Roman"/>
          <w:b/>
          <w:bCs/>
          <w:sz w:val="24"/>
          <w:szCs w:val="24"/>
          <w:lang w:val="en-US"/>
        </w:rPr>
      </w:pPr>
      <w:r w:rsidRPr="00505682">
        <w:rPr>
          <w:rFonts w:ascii="Times New Roman" w:hAnsi="Times New Roman" w:cs="Times New Roman"/>
          <w:b/>
          <w:bCs/>
          <w:sz w:val="24"/>
          <w:szCs w:val="24"/>
          <w:lang w:val="en-US"/>
        </w:rPr>
        <w:t>The Influence of the Incident Command System (ICS) Prior to a Disaster</w:t>
      </w:r>
    </w:p>
    <w:p w14:paraId="6F539E6B" w14:textId="678A0AA4"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 xml:space="preserve">Incident Command System (ICS) is a precursor to the overall emergency operations before a bushfire takes place. Regional models, like the hybrid ICS model in South Australia, create a formalized system of involved agencies that are managed by specified Control Agencies, including the Country Fire Service (Tangney et al., 2023). </w:t>
      </w:r>
      <w:commentRangeStart w:id="7"/>
      <w:r w:rsidRPr="00706F36">
        <w:rPr>
          <w:rFonts w:ascii="Times New Roman" w:hAnsi="Times New Roman" w:cs="Times New Roman"/>
          <w:sz w:val="24"/>
          <w:szCs w:val="24"/>
          <w:lang w:val="en-US"/>
        </w:rPr>
        <w:t>The main impact of the ICS during the pre-disaster stage is that it requires rigorous inter-agency planning</w:t>
      </w:r>
      <w:commentRangeEnd w:id="7"/>
      <w:r w:rsidR="006C19A7" w:rsidRPr="00706F36">
        <w:rPr>
          <w:rStyle w:val="CommentReference"/>
          <w:rFonts w:ascii="Times New Roman" w:hAnsi="Times New Roman" w:cs="Times New Roman"/>
          <w:sz w:val="24"/>
          <w:szCs w:val="24"/>
          <w:lang w:val="en-US"/>
        </w:rPr>
        <w:commentReference w:id="7"/>
      </w:r>
      <w:r w:rsidRPr="00706F36">
        <w:rPr>
          <w:rFonts w:ascii="Times New Roman" w:hAnsi="Times New Roman" w:cs="Times New Roman"/>
          <w:sz w:val="24"/>
          <w:szCs w:val="24"/>
          <w:lang w:val="en-US"/>
        </w:rPr>
        <w:t xml:space="preserve">. The ICS arrangements document the unique roles of Support Agencies and Functional Support Groups, which hypothetically guarantee a coordinated methodology in advance (Tangney et al., 2023). </w:t>
      </w:r>
    </w:p>
    <w:p w14:paraId="404303CB" w14:textId="3B631404"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commentRangeStart w:id="8"/>
      <w:r w:rsidRPr="00706F36">
        <w:rPr>
          <w:rFonts w:ascii="Times New Roman" w:hAnsi="Times New Roman" w:cs="Times New Roman"/>
          <w:sz w:val="24"/>
          <w:szCs w:val="24"/>
          <w:lang w:val="en-US"/>
        </w:rPr>
        <w:t>But</w:t>
      </w:r>
      <w:commentRangeEnd w:id="8"/>
      <w:r w:rsidR="006C19A7" w:rsidRPr="00706F36">
        <w:rPr>
          <w:rStyle w:val="CommentReference"/>
          <w:rFonts w:ascii="Times New Roman" w:hAnsi="Times New Roman" w:cs="Times New Roman"/>
          <w:sz w:val="24"/>
          <w:szCs w:val="24"/>
          <w:lang w:val="en-US"/>
        </w:rPr>
        <w:commentReference w:id="8"/>
      </w:r>
      <w:r w:rsidRPr="00706F36">
        <w:rPr>
          <w:rFonts w:ascii="Times New Roman" w:hAnsi="Times New Roman" w:cs="Times New Roman"/>
          <w:sz w:val="24"/>
          <w:szCs w:val="24"/>
          <w:lang w:val="en-US"/>
        </w:rPr>
        <w:t xml:space="preserve"> </w:t>
      </w:r>
      <w:commentRangeStart w:id="9"/>
      <w:r w:rsidRPr="00706F36">
        <w:rPr>
          <w:rFonts w:ascii="Times New Roman" w:hAnsi="Times New Roman" w:cs="Times New Roman"/>
          <w:sz w:val="24"/>
          <w:szCs w:val="24"/>
          <w:lang w:val="en-US"/>
        </w:rPr>
        <w:t>what is often more valuable than the written plans is the actual worth of the ICS before an even</w:t>
      </w:r>
      <w:commentRangeEnd w:id="9"/>
      <w:r w:rsidR="006C19A7" w:rsidRPr="00706F36">
        <w:rPr>
          <w:rStyle w:val="CommentReference"/>
          <w:rFonts w:ascii="Times New Roman" w:hAnsi="Times New Roman" w:cs="Times New Roman"/>
          <w:sz w:val="24"/>
          <w:szCs w:val="24"/>
          <w:lang w:val="en-US"/>
        </w:rPr>
        <w:commentReference w:id="9"/>
      </w:r>
      <w:r w:rsidRPr="00706F36">
        <w:rPr>
          <w:rFonts w:ascii="Times New Roman" w:hAnsi="Times New Roman" w:cs="Times New Roman"/>
          <w:sz w:val="24"/>
          <w:szCs w:val="24"/>
          <w:lang w:val="en-US"/>
        </w:rPr>
        <w:t>t. Although formal governance artifacts may at times be unable to be prescriptively accurate in extremely dynamic settings, the collaborative processes required by the ICS compel different agencies to engage with one another on a regular basis (Tangney et al., 2023). This pre-disaster planning develops essential informal connections</w:t>
      </w:r>
      <w:commentRangeStart w:id="10"/>
      <w:r w:rsidRPr="00706F36">
        <w:rPr>
          <w:rFonts w:ascii="Times New Roman" w:hAnsi="Times New Roman" w:cs="Times New Roman"/>
          <w:sz w:val="24"/>
          <w:szCs w:val="24"/>
          <w:lang w:val="en-US"/>
        </w:rPr>
        <w:t xml:space="preserve">, the trust of each other, and social capital between network participants </w:t>
      </w:r>
      <w:commentRangeEnd w:id="10"/>
      <w:r w:rsidR="006C19A7" w:rsidRPr="00706F36">
        <w:rPr>
          <w:rStyle w:val="CommentReference"/>
          <w:rFonts w:ascii="Times New Roman" w:hAnsi="Times New Roman" w:cs="Times New Roman"/>
          <w:sz w:val="24"/>
          <w:szCs w:val="24"/>
          <w:lang w:val="en-US"/>
        </w:rPr>
        <w:commentReference w:id="10"/>
      </w:r>
      <w:r w:rsidRPr="00706F36">
        <w:rPr>
          <w:rFonts w:ascii="Times New Roman" w:hAnsi="Times New Roman" w:cs="Times New Roman"/>
          <w:sz w:val="24"/>
          <w:szCs w:val="24"/>
          <w:lang w:val="en-US"/>
        </w:rPr>
        <w:t xml:space="preserve">(Tangney et al., 2023). Moreover, </w:t>
      </w:r>
      <w:r w:rsidRPr="00706F36">
        <w:rPr>
          <w:rFonts w:ascii="Times New Roman" w:hAnsi="Times New Roman" w:cs="Times New Roman"/>
          <w:sz w:val="24"/>
          <w:szCs w:val="24"/>
          <w:lang w:val="en-US"/>
        </w:rPr>
        <w:lastRenderedPageBreak/>
        <w:t xml:space="preserve">the ICS </w:t>
      </w:r>
      <w:commentRangeStart w:id="11"/>
      <w:r w:rsidRPr="00706F36">
        <w:rPr>
          <w:rFonts w:ascii="Times New Roman" w:hAnsi="Times New Roman" w:cs="Times New Roman"/>
          <w:sz w:val="24"/>
          <w:szCs w:val="24"/>
          <w:lang w:val="en-US"/>
        </w:rPr>
        <w:t>paradigm prompts the emergency sector to push towards the focus on proactive prevention and mitigation instead of the response (</w:t>
      </w:r>
      <w:commentRangeEnd w:id="11"/>
      <w:r w:rsidR="006C19A7" w:rsidRPr="00706F36">
        <w:rPr>
          <w:rStyle w:val="CommentReference"/>
          <w:rFonts w:ascii="Times New Roman" w:hAnsi="Times New Roman" w:cs="Times New Roman"/>
          <w:sz w:val="24"/>
          <w:szCs w:val="24"/>
          <w:lang w:val="en-US"/>
        </w:rPr>
        <w:commentReference w:id="11"/>
      </w:r>
      <w:r w:rsidRPr="00706F36">
        <w:rPr>
          <w:rFonts w:ascii="Times New Roman" w:hAnsi="Times New Roman" w:cs="Times New Roman"/>
          <w:sz w:val="24"/>
          <w:szCs w:val="24"/>
          <w:lang w:val="en-US"/>
        </w:rPr>
        <w:t xml:space="preserve">McArthur, 2020). The ICS can establish a formal framework within which community resilience efforts can be systematically facilitated by aligning top-down institutional abilities with the overall objective of shared responsibility </w:t>
      </w:r>
      <w:commentRangeStart w:id="12"/>
      <w:r w:rsidRPr="00706F36">
        <w:rPr>
          <w:rFonts w:ascii="Times New Roman" w:hAnsi="Times New Roman" w:cs="Times New Roman"/>
          <w:sz w:val="24"/>
          <w:szCs w:val="24"/>
          <w:lang w:val="en-US"/>
        </w:rPr>
        <w:t xml:space="preserve">(McArthur, 2020). </w:t>
      </w:r>
      <w:commentRangeEnd w:id="12"/>
      <w:r w:rsidR="006C19A7" w:rsidRPr="00706F36">
        <w:rPr>
          <w:rStyle w:val="CommentReference"/>
          <w:rFonts w:ascii="Times New Roman" w:hAnsi="Times New Roman" w:cs="Times New Roman"/>
          <w:sz w:val="24"/>
          <w:szCs w:val="24"/>
          <w:lang w:val="en-US"/>
        </w:rPr>
        <w:commentReference w:id="12"/>
      </w:r>
    </w:p>
    <w:p w14:paraId="0211CCFC" w14:textId="781106E9" w:rsidR="00505682" w:rsidRPr="00706F36"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t>Emergency Operations Center (EOC) Support During a Disaster</w:t>
      </w:r>
    </w:p>
    <w:p w14:paraId="49BEE115" w14:textId="11693358"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commentRangeStart w:id="13"/>
      <w:r w:rsidRPr="00C02971">
        <w:rPr>
          <w:rFonts w:ascii="Times New Roman" w:hAnsi="Times New Roman" w:cs="Times New Roman"/>
          <w:sz w:val="24"/>
          <w:szCs w:val="24"/>
          <w:lang w:val="en-US"/>
        </w:rPr>
        <w:t xml:space="preserve">In case of a disastrous bush fire, the Emergency Operations Center (EOC) will be the coordinated strategic point of disaster recovery and response. The EOC is tasked with operating on a higher level than on-the-ground incident controllers by activating relief agencies and making sure that the right people are deployed throughout the state (Tangney et al., 2023). Its main role is to facilitate the coordination of whole-of-government resources and guide Functional Support Groups, including the logistics, engineering, and infrastructure management (Tangney et al., 2023). </w:t>
      </w:r>
    </w:p>
    <w:p w14:paraId="3ACDB86C" w14:textId="0BE36055"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 xml:space="preserve">The EOC is the nexus of critical communications in the crisis. It also handles the upward communication through briefing government executives and cabinet members so that the political leadership is aware but not involved in the tactical operations (Tangney et al., 2023). Downwards, the EOC liaises with local zone support teams and conducts community recovery operations (Tangney et al., 2023). In addition, when the civilian response capabilities are entirely overwhelmed by the size of the bushfire, the EOC is tasked with making a formal request, integrating, and coordinating large-scale external support, including dispatching military forces of the Australian Defence Force (Tangney et al., 2023). </w:t>
      </w:r>
      <w:commentRangeEnd w:id="13"/>
      <w:r w:rsidR="006C19A7" w:rsidRPr="00C02971">
        <w:rPr>
          <w:rStyle w:val="CommentReference"/>
          <w:rFonts w:ascii="Times New Roman" w:hAnsi="Times New Roman" w:cs="Times New Roman"/>
          <w:sz w:val="24"/>
          <w:szCs w:val="24"/>
          <w:lang w:val="en-US"/>
        </w:rPr>
        <w:commentReference w:id="13"/>
      </w:r>
    </w:p>
    <w:p w14:paraId="16E2AF3B" w14:textId="77777777" w:rsidR="00C02971" w:rsidRPr="00706F36" w:rsidRDefault="00C02971" w:rsidP="00706F36">
      <w:pPr>
        <w:spacing w:line="480" w:lineRule="auto"/>
        <w:jc w:val="center"/>
        <w:rPr>
          <w:rFonts w:ascii="Times New Roman" w:hAnsi="Times New Roman" w:cs="Times New Roman"/>
          <w:b/>
          <w:bCs/>
          <w:sz w:val="24"/>
          <w:szCs w:val="24"/>
          <w:lang w:val="en-US"/>
        </w:rPr>
      </w:pPr>
    </w:p>
    <w:p w14:paraId="4CA2E490" w14:textId="03956F7D" w:rsidR="00505682" w:rsidRPr="00706F36"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t>Mitigation and Preparedness Strategy: Integrating the Five Cs</w:t>
      </w:r>
    </w:p>
    <w:p w14:paraId="02C8A15F" w14:textId="1B5E8704"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commentRangeStart w:id="14"/>
      <w:commentRangeStart w:id="15"/>
      <w:r w:rsidRPr="00706F36">
        <w:rPr>
          <w:rFonts w:ascii="Times New Roman" w:hAnsi="Times New Roman" w:cs="Times New Roman"/>
          <w:sz w:val="24"/>
          <w:szCs w:val="24"/>
          <w:lang w:val="en-US"/>
        </w:rPr>
        <w:t xml:space="preserve">As the person-centred emergency preparedness (P-CEP) framework will serve as the main mitigation method to protect individuals with disabilities and minimize their </w:t>
      </w:r>
      <w:r w:rsidRPr="00706F36">
        <w:rPr>
          <w:rFonts w:ascii="Times New Roman" w:hAnsi="Times New Roman" w:cs="Times New Roman"/>
          <w:sz w:val="24"/>
          <w:szCs w:val="24"/>
          <w:lang w:val="en-US"/>
        </w:rPr>
        <w:lastRenderedPageBreak/>
        <w:t>susceptibility, the emergency planning team will apply it (</w:t>
      </w:r>
      <w:r w:rsidR="00211C2F" w:rsidRPr="00211C2F">
        <w:rPr>
          <w:rFonts w:ascii="Times New Roman" w:hAnsi="Times New Roman" w:cs="Times New Roman"/>
          <w:sz w:val="24"/>
          <w:szCs w:val="24"/>
        </w:rPr>
        <w:t>Warnick &amp; Molino, 2020</w:t>
      </w:r>
      <w:commentRangeEnd w:id="15"/>
      <w:r w:rsidR="006C19A7" w:rsidRPr="00706F36">
        <w:rPr>
          <w:rStyle w:val="CommentReference"/>
          <w:rFonts w:ascii="Times New Roman" w:hAnsi="Times New Roman" w:cs="Times New Roman"/>
          <w:sz w:val="24"/>
          <w:szCs w:val="24"/>
          <w:lang w:val="en-US"/>
        </w:rPr>
        <w:commentReference w:id="15"/>
      </w:r>
      <w:r w:rsidRPr="00706F36">
        <w:rPr>
          <w:rFonts w:ascii="Times New Roman" w:hAnsi="Times New Roman" w:cs="Times New Roman"/>
          <w:sz w:val="24"/>
          <w:szCs w:val="24"/>
          <w:lang w:val="en-US"/>
        </w:rPr>
        <w:t xml:space="preserve">). This plan directly realizes the five Cs to enhance interoperability and communication among social groups. </w:t>
      </w:r>
    </w:p>
    <w:p w14:paraId="61998EEB" w14:textId="0FBD186D" w:rsidR="00C02971" w:rsidRPr="00706F36"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t xml:space="preserve">First, it improves Communication </w:t>
      </w:r>
      <w:commentRangeStart w:id="16"/>
      <w:r w:rsidRPr="00706F36">
        <w:rPr>
          <w:rFonts w:ascii="Times New Roman" w:hAnsi="Times New Roman" w:cs="Times New Roman"/>
          <w:sz w:val="24"/>
          <w:szCs w:val="24"/>
          <w:lang w:val="en-US"/>
        </w:rPr>
        <w:t>by promoting dialogues of shared learning among individuals, their care providers, and emergency services</w:t>
      </w:r>
      <w:commentRangeEnd w:id="16"/>
      <w:r w:rsidR="002A7F65" w:rsidRPr="00706F36">
        <w:rPr>
          <w:rStyle w:val="CommentReference"/>
          <w:rFonts w:ascii="Times New Roman" w:hAnsi="Times New Roman" w:cs="Times New Roman"/>
          <w:sz w:val="24"/>
          <w:szCs w:val="24"/>
          <w:lang w:val="en-US"/>
        </w:rPr>
        <w:commentReference w:id="16"/>
      </w:r>
      <w:r w:rsidRPr="00706F36">
        <w:rPr>
          <w:rFonts w:ascii="Times New Roman" w:hAnsi="Times New Roman" w:cs="Times New Roman"/>
          <w:sz w:val="24"/>
          <w:szCs w:val="24"/>
          <w:lang w:val="en-US"/>
        </w:rPr>
        <w:t>. This way, vulnerable people will remain aware of the local bushfire risks and effectively convey their individual support requirements to the authorities (</w:t>
      </w:r>
      <w:r w:rsidR="00211C2F" w:rsidRPr="00211C2F">
        <w:rPr>
          <w:rFonts w:ascii="Times New Roman" w:hAnsi="Times New Roman" w:cs="Times New Roman"/>
          <w:sz w:val="24"/>
          <w:szCs w:val="24"/>
        </w:rPr>
        <w:t>Warnick &amp; Molino, 2020</w:t>
      </w:r>
      <w:r w:rsidRPr="00706F36">
        <w:rPr>
          <w:rFonts w:ascii="Times New Roman" w:hAnsi="Times New Roman" w:cs="Times New Roman"/>
          <w:sz w:val="24"/>
          <w:szCs w:val="24"/>
          <w:lang w:val="en-US"/>
        </w:rPr>
        <w:t xml:space="preserve">). Second, Coordination is done through the formal incorporation of community, health, and rehabilitation service providers in the larger emergency planning structures. This makes sure that the providers get proper training and are coordinated materially to support their clients in the event of an evacuation (Crapis et al., 2024). </w:t>
      </w:r>
    </w:p>
    <w:p w14:paraId="1CFCCF7F" w14:textId="29CE4696" w:rsidR="00505682" w:rsidRPr="00706F36" w:rsidRDefault="00C02971" w:rsidP="00706F36">
      <w:pPr>
        <w:spacing w:line="480" w:lineRule="auto"/>
        <w:rPr>
          <w:rFonts w:ascii="Times New Roman" w:hAnsi="Times New Roman" w:cs="Times New Roman"/>
          <w:b/>
          <w:bCs/>
          <w:sz w:val="24"/>
          <w:szCs w:val="24"/>
          <w:lang w:val="en-US"/>
        </w:rPr>
      </w:pPr>
      <w:r w:rsidRPr="00706F36">
        <w:rPr>
          <w:rFonts w:ascii="Times New Roman" w:hAnsi="Times New Roman" w:cs="Times New Roman"/>
          <w:sz w:val="24"/>
          <w:szCs w:val="24"/>
          <w:lang w:val="en-US"/>
        </w:rPr>
        <w:tab/>
        <w:t>Third, Cooperation is achieved with the spirit of shared responsibility. Instead of communities receiving directives on disaster risk reduction passively as dictated by the top-down structure of emergency services, the government agencies and local bodies collaborate to reach a mutual understanding of disaster risk reduction roles before a crisis (McArthur, 2020). Fourth, Collaboration entails the multi-stakeholder engagement in order to eliminate both physical and social barriers. This involves creating social connectedness to enable disabled people to have networks with trusted and collaborative relationships like neighborhood buddy systems or trusted service providers to fall back on in case of an emergency (</w:t>
      </w:r>
      <w:r w:rsidR="00211C2F" w:rsidRPr="00211C2F">
        <w:rPr>
          <w:rFonts w:ascii="Times New Roman" w:hAnsi="Times New Roman" w:cs="Times New Roman"/>
          <w:sz w:val="24"/>
          <w:szCs w:val="24"/>
        </w:rPr>
        <w:t>Warnick &amp; Molino, 2020</w:t>
      </w:r>
      <w:r w:rsidRPr="00706F36">
        <w:rPr>
          <w:rFonts w:ascii="Times New Roman" w:hAnsi="Times New Roman" w:cs="Times New Roman"/>
          <w:sz w:val="24"/>
          <w:szCs w:val="24"/>
          <w:lang w:val="en-US"/>
        </w:rPr>
        <w:t xml:space="preserve">). Lastly, Command/Control helps to integrate these individualized, localized P-CEP plans with overall command arrangements of local emergency services (McArthur, 2020). The strategy links the state-level disaster structures with the local community vulnerabilities by integrating community-level preparedness into the official ICS structure. </w:t>
      </w:r>
      <w:commentRangeEnd w:id="14"/>
      <w:r w:rsidR="002A7F65" w:rsidRPr="00706F36">
        <w:rPr>
          <w:rStyle w:val="CommentReference"/>
          <w:rFonts w:ascii="Times New Roman" w:hAnsi="Times New Roman" w:cs="Times New Roman"/>
          <w:b/>
          <w:bCs/>
          <w:sz w:val="24"/>
          <w:szCs w:val="24"/>
          <w:lang w:val="en-US"/>
        </w:rPr>
        <w:commentReference w:id="14"/>
      </w:r>
    </w:p>
    <w:p w14:paraId="042929ED" w14:textId="77777777" w:rsidR="00505682" w:rsidRPr="00706F36" w:rsidRDefault="00505682" w:rsidP="00706F36">
      <w:pPr>
        <w:spacing w:line="480" w:lineRule="auto"/>
        <w:rPr>
          <w:rFonts w:ascii="Times New Roman" w:hAnsi="Times New Roman" w:cs="Times New Roman"/>
          <w:b/>
          <w:bCs/>
          <w:sz w:val="24"/>
          <w:szCs w:val="24"/>
          <w:lang w:val="en-US"/>
        </w:rPr>
      </w:pPr>
    </w:p>
    <w:p w14:paraId="586128A4" w14:textId="29B0F163" w:rsidR="00505682" w:rsidRPr="00505682" w:rsidRDefault="00505682" w:rsidP="00706F36">
      <w:pPr>
        <w:spacing w:line="480" w:lineRule="auto"/>
        <w:jc w:val="center"/>
        <w:rPr>
          <w:rFonts w:ascii="Times New Roman" w:hAnsi="Times New Roman" w:cs="Times New Roman"/>
          <w:sz w:val="24"/>
          <w:szCs w:val="24"/>
          <w:lang w:val="en-US"/>
        </w:rPr>
      </w:pPr>
      <w:r w:rsidRPr="00505682">
        <w:rPr>
          <w:rFonts w:ascii="Times New Roman" w:hAnsi="Times New Roman" w:cs="Times New Roman"/>
          <w:b/>
          <w:bCs/>
          <w:sz w:val="24"/>
          <w:szCs w:val="24"/>
          <w:lang w:val="en-US"/>
        </w:rPr>
        <w:lastRenderedPageBreak/>
        <w:t>Conclusion</w:t>
      </w:r>
    </w:p>
    <w:p w14:paraId="03F88BA0" w14:textId="0B35113A" w:rsidR="00C02971" w:rsidRPr="00C02971" w:rsidRDefault="00C02971"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tab/>
      </w:r>
      <w:r w:rsidRPr="00C02971">
        <w:rPr>
          <w:rFonts w:ascii="Times New Roman" w:hAnsi="Times New Roman" w:cs="Times New Roman"/>
          <w:sz w:val="24"/>
          <w:szCs w:val="24"/>
          <w:lang w:val="en-US"/>
        </w:rPr>
        <w:t xml:space="preserve">The management of disasters in Australia needs to be holistic and properly coordinated to blend formal structures with localized interactions in the community. Emergency planners can communicate risks to vulnerable groups, including people with disabilities, by prioritizing the situational awareness that is specific to the situation and empowering local service providers. </w:t>
      </w:r>
      <w:commentRangeStart w:id="17"/>
      <w:r w:rsidRPr="00C02971">
        <w:rPr>
          <w:rFonts w:ascii="Times New Roman" w:hAnsi="Times New Roman" w:cs="Times New Roman"/>
          <w:sz w:val="24"/>
          <w:szCs w:val="24"/>
          <w:lang w:val="en-US"/>
        </w:rPr>
        <w:t>Planning with the ICS to have a strong pre-disaster planning and the EOC to provide strategic and whole-of-government coordination in the response to an event will guarantee a disciplined and unified response</w:t>
      </w:r>
      <w:commentRangeEnd w:id="17"/>
      <w:r w:rsidR="002A7F65" w:rsidRPr="00C02971">
        <w:rPr>
          <w:rStyle w:val="CommentReference"/>
          <w:rFonts w:ascii="Times New Roman" w:hAnsi="Times New Roman" w:cs="Times New Roman"/>
          <w:sz w:val="24"/>
          <w:szCs w:val="24"/>
          <w:lang w:val="en-US"/>
        </w:rPr>
        <w:commentReference w:id="17"/>
      </w:r>
      <w:r w:rsidRPr="00C02971">
        <w:rPr>
          <w:rFonts w:ascii="Times New Roman" w:hAnsi="Times New Roman" w:cs="Times New Roman"/>
          <w:sz w:val="24"/>
          <w:szCs w:val="24"/>
          <w:lang w:val="en-US"/>
        </w:rPr>
        <w:t>. Finally, the implementation of the Five Cs with the help of the inclusive mitigation strategies, such as the P-CEP framework, will turn written emergency plans into working, shared resilience where no population will be left behind in the case of the disastrous bushfire.</w:t>
      </w:r>
    </w:p>
    <w:p w14:paraId="30BB4AC2" w14:textId="77777777" w:rsidR="00D2039A" w:rsidRPr="00706F36" w:rsidRDefault="00D2039A" w:rsidP="00706F36">
      <w:pPr>
        <w:spacing w:line="480" w:lineRule="auto"/>
        <w:rPr>
          <w:rFonts w:ascii="Times New Roman" w:hAnsi="Times New Roman" w:cs="Times New Roman"/>
          <w:sz w:val="24"/>
          <w:szCs w:val="24"/>
          <w:lang w:val="en-US"/>
        </w:rPr>
      </w:pPr>
      <w:r w:rsidRPr="00706F36">
        <w:rPr>
          <w:rFonts w:ascii="Times New Roman" w:hAnsi="Times New Roman" w:cs="Times New Roman"/>
          <w:sz w:val="24"/>
          <w:szCs w:val="24"/>
          <w:lang w:val="en-US"/>
        </w:rPr>
        <w:br w:type="page"/>
      </w:r>
    </w:p>
    <w:p w14:paraId="4C328A59" w14:textId="11D197DA" w:rsidR="00D2039A" w:rsidRPr="00706F36" w:rsidRDefault="00D2039A" w:rsidP="00706F36">
      <w:pPr>
        <w:pStyle w:val="NormalWeb"/>
        <w:spacing w:line="480" w:lineRule="auto"/>
        <w:jc w:val="center"/>
        <w:rPr>
          <w:b/>
          <w:bCs/>
          <w:lang w:val="en-US"/>
        </w:rPr>
      </w:pPr>
      <w:r w:rsidRPr="00706F36">
        <w:rPr>
          <w:b/>
          <w:bCs/>
          <w:lang w:val="en-US"/>
        </w:rPr>
        <w:lastRenderedPageBreak/>
        <w:t>References</w:t>
      </w:r>
    </w:p>
    <w:p w14:paraId="18EFB165" w14:textId="69E33343" w:rsidR="00D2039A" w:rsidRPr="00D2039A" w:rsidRDefault="00D2039A" w:rsidP="00706F36">
      <w:pPr>
        <w:pStyle w:val="NormalWeb"/>
        <w:spacing w:line="480" w:lineRule="auto"/>
        <w:ind w:left="720" w:hanging="720"/>
        <w:rPr>
          <w:lang w:val="en-US"/>
        </w:rPr>
      </w:pPr>
      <w:r w:rsidRPr="00D2039A">
        <w:rPr>
          <w:lang w:val="en-US"/>
        </w:rPr>
        <w:t xml:space="preserve">Crapis, C., Chang, K.-Y. J., &amp; Villeneuve, M. (2024). A cross-sectional survey of Australian service providers' emergency preparedness capabilities. </w:t>
      </w:r>
      <w:r w:rsidRPr="00D2039A">
        <w:rPr>
          <w:i/>
          <w:iCs/>
          <w:lang w:val="en-US"/>
        </w:rPr>
        <w:t>Disability and Rehabilitation</w:t>
      </w:r>
      <w:r w:rsidRPr="00D2039A">
        <w:rPr>
          <w:lang w:val="en-US"/>
        </w:rPr>
        <w:t xml:space="preserve">, </w:t>
      </w:r>
      <w:r w:rsidRPr="00D2039A">
        <w:rPr>
          <w:i/>
          <w:iCs/>
          <w:lang w:val="en-US"/>
        </w:rPr>
        <w:t>46</w:t>
      </w:r>
      <w:r w:rsidRPr="00D2039A">
        <w:rPr>
          <w:lang w:val="en-US"/>
        </w:rPr>
        <w:t xml:space="preserve">(18), 4276–4286. </w:t>
      </w:r>
      <w:hyperlink w:tgtFrame="_blank" w:history="1">
        <w:r w:rsidRPr="00D2039A">
          <w:rPr>
            <w:rStyle w:val="Hyperlink"/>
            <w:color w:val="auto"/>
            <w:lang w:val="en-US"/>
          </w:rPr>
          <w:t>https://doi.org/10.1080/09638288.2023.2270916</w:t>
        </w:r>
      </w:hyperlink>
    </w:p>
    <w:p w14:paraId="3E7529E9" w14:textId="77777777" w:rsidR="00D2039A" w:rsidRPr="00D2039A" w:rsidRDefault="00D2039A" w:rsidP="00706F36">
      <w:pPr>
        <w:pStyle w:val="NormalWeb"/>
        <w:spacing w:line="480" w:lineRule="auto"/>
        <w:ind w:left="720" w:hanging="720"/>
        <w:rPr>
          <w:lang w:val="en-US"/>
        </w:rPr>
      </w:pPr>
      <w:r w:rsidRPr="00D2039A">
        <w:rPr>
          <w:lang w:val="en-US"/>
        </w:rPr>
        <w:t xml:space="preserve">McArthur, T. (2020). Resilience in NSW: The need for a comprehensive, coherent emergency planning framework. </w:t>
      </w:r>
      <w:r w:rsidRPr="00D2039A">
        <w:rPr>
          <w:i/>
          <w:iCs/>
          <w:lang w:val="en-US"/>
        </w:rPr>
        <w:t>Australian Journal of Emergency Management</w:t>
      </w:r>
      <w:r w:rsidRPr="00D2039A">
        <w:rPr>
          <w:lang w:val="en-US"/>
        </w:rPr>
        <w:t xml:space="preserve">, </w:t>
      </w:r>
      <w:r w:rsidRPr="00D2039A">
        <w:rPr>
          <w:i/>
          <w:iCs/>
          <w:lang w:val="en-US"/>
        </w:rPr>
        <w:t>35</w:t>
      </w:r>
      <w:r w:rsidRPr="00D2039A">
        <w:rPr>
          <w:lang w:val="en-US"/>
        </w:rPr>
        <w:t>(4), 61–66.</w:t>
      </w:r>
    </w:p>
    <w:p w14:paraId="2FD5AEA8" w14:textId="77777777" w:rsidR="00D2039A" w:rsidRPr="00706F36" w:rsidRDefault="00D2039A" w:rsidP="00706F36">
      <w:pPr>
        <w:pStyle w:val="NormalWeb"/>
        <w:spacing w:line="480" w:lineRule="auto"/>
        <w:ind w:left="720" w:hanging="720"/>
      </w:pPr>
      <w:r w:rsidRPr="00D2039A">
        <w:rPr>
          <w:lang w:val="en-US"/>
        </w:rPr>
        <w:t xml:space="preserve">Tangney, P., Star, C., Sutton, Z., &amp; Clarke, B. (2023). Navigating collaborative governance: Network ignorance and the performative planning of South Australia's emergency management. </w:t>
      </w:r>
      <w:r w:rsidRPr="00D2039A">
        <w:rPr>
          <w:i/>
          <w:iCs/>
          <w:lang w:val="en-US"/>
        </w:rPr>
        <w:t>International Journal of Disaster Risk Reduction</w:t>
      </w:r>
      <w:r w:rsidRPr="00D2039A">
        <w:rPr>
          <w:lang w:val="en-US"/>
        </w:rPr>
        <w:t xml:space="preserve">, </w:t>
      </w:r>
      <w:r w:rsidRPr="00D2039A">
        <w:rPr>
          <w:i/>
          <w:iCs/>
          <w:lang w:val="en-US"/>
        </w:rPr>
        <w:t>96</w:t>
      </w:r>
      <w:r w:rsidRPr="00D2039A">
        <w:rPr>
          <w:lang w:val="en-US"/>
        </w:rPr>
        <w:t xml:space="preserve">, 103983. </w:t>
      </w:r>
      <w:hyperlink w:tgtFrame="_blank" w:history="1">
        <w:r w:rsidRPr="00D2039A">
          <w:rPr>
            <w:rStyle w:val="Hyperlink"/>
            <w:color w:val="auto"/>
            <w:lang w:val="en-US"/>
          </w:rPr>
          <w:t>https://doi.org/10.1016/j.ijdrr.2023.103983</w:t>
        </w:r>
      </w:hyperlink>
    </w:p>
    <w:p w14:paraId="73264982" w14:textId="29360021" w:rsidR="00860CB2" w:rsidRPr="00D2039A" w:rsidRDefault="00860CB2" w:rsidP="00706F36">
      <w:pPr>
        <w:pStyle w:val="NormalWeb"/>
        <w:spacing w:line="480" w:lineRule="auto"/>
        <w:ind w:left="720" w:hanging="720"/>
        <w:rPr>
          <w:lang w:val="en-US"/>
        </w:rPr>
      </w:pPr>
      <w:commentRangeStart w:id="18"/>
      <w:r w:rsidRPr="00706F36">
        <w:rPr>
          <w:b/>
          <w:bCs/>
        </w:rPr>
        <w:t>Warnick, M. S., &amp; Molino Sr., L. N. (2020).</w:t>
      </w:r>
      <w:r w:rsidRPr="00706F36">
        <w:t xml:space="preserve"> </w:t>
      </w:r>
      <w:commentRangeEnd w:id="18"/>
      <w:r w:rsidR="002A7F65" w:rsidRPr="00706F36">
        <w:rPr>
          <w:rStyle w:val="CommentReference"/>
          <w:i/>
          <w:iCs/>
          <w:sz w:val="24"/>
          <w:szCs w:val="24"/>
        </w:rPr>
        <w:commentReference w:id="18"/>
      </w:r>
      <w:r w:rsidRPr="00706F36">
        <w:rPr>
          <w:i/>
          <w:iCs/>
        </w:rPr>
        <w:t>Emergency incident management systems: Fundamentals and applications</w:t>
      </w:r>
      <w:r w:rsidRPr="00706F36">
        <w:t xml:space="preserve"> (2nd ed.). Butterworth-Heinemann.</w:t>
      </w:r>
    </w:p>
    <w:p w14:paraId="78BA7C1E" w14:textId="12057C4E" w:rsidR="002E0669" w:rsidRPr="00706F36" w:rsidRDefault="002E0669" w:rsidP="00706F36">
      <w:pPr>
        <w:pStyle w:val="NormalWeb"/>
        <w:spacing w:line="480" w:lineRule="auto"/>
      </w:pPr>
    </w:p>
    <w:sectPr w:rsidR="002E0669" w:rsidRPr="00706F36">
      <w:headerReference w:type="default" r:id="rId12"/>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ditor" w:date="2026-05-05T06:47:00Z" w:initials="N">
    <w:p w14:paraId="43CC0538" w14:textId="77777777" w:rsidR="0017269A" w:rsidRDefault="0017269A" w:rsidP="0017269A">
      <w:pPr>
        <w:pStyle w:val="CommentText"/>
      </w:pPr>
      <w:r>
        <w:rPr>
          <w:rStyle w:val="CommentReference"/>
        </w:rPr>
        <w:annotationRef/>
      </w:r>
      <w:r>
        <w:t xml:space="preserve">Bc42 </w:t>
      </w:r>
    </w:p>
    <w:p w14:paraId="655715F5" w14:textId="77777777" w:rsidR="0017269A" w:rsidRDefault="0017269A" w:rsidP="0017269A">
      <w:pPr>
        <w:pStyle w:val="CommentText"/>
      </w:pPr>
      <w:r>
        <w:t>4 page content for a 3 page order</w:t>
      </w:r>
    </w:p>
  </w:comment>
  <w:comment w:id="1" w:author="Editor" w:date="2026-05-05T06:47:00Z" w:initials="N">
    <w:p w14:paraId="23CB2852" w14:textId="77777777" w:rsidR="0017269A" w:rsidRDefault="0017269A" w:rsidP="0017269A">
      <w:pPr>
        <w:pStyle w:val="CommentText"/>
      </w:pPr>
      <w:r>
        <w:rPr>
          <w:rStyle w:val="CommentReference"/>
        </w:rPr>
        <w:annotationRef/>
      </w:r>
      <w:r>
        <w:t>bc12</w:t>
      </w:r>
    </w:p>
  </w:comment>
  <w:comment w:id="2" w:author="Editor" w:date="2026-05-05T06:54:00Z" w:initials="N">
    <w:p w14:paraId="68106EE3" w14:textId="77777777" w:rsidR="0017269A" w:rsidRDefault="0017269A" w:rsidP="0017269A">
      <w:pPr>
        <w:pStyle w:val="CommentText"/>
      </w:pPr>
      <w:r>
        <w:rPr>
          <w:rStyle w:val="CommentReference"/>
        </w:rPr>
        <w:annotationRef/>
      </w:r>
      <w:r>
        <w:t>Bc15 bc16</w:t>
      </w:r>
    </w:p>
  </w:comment>
  <w:comment w:id="3" w:author="Editor" w:date="2026-05-05T06:54:00Z" w:initials="N">
    <w:p w14:paraId="58AFB8DE" w14:textId="77777777" w:rsidR="0017269A" w:rsidRDefault="0017269A" w:rsidP="0017269A">
      <w:pPr>
        <w:pStyle w:val="CommentText"/>
      </w:pPr>
      <w:r>
        <w:rPr>
          <w:rStyle w:val="CommentReference"/>
        </w:rPr>
        <w:annotationRef/>
      </w:r>
      <w:r>
        <w:t>bc18</w:t>
      </w:r>
    </w:p>
  </w:comment>
  <w:comment w:id="4" w:author="Editor" w:date="2026-05-05T06:55:00Z" w:initials="N">
    <w:p w14:paraId="4834E76E" w14:textId="77777777" w:rsidR="0017269A" w:rsidRDefault="0017269A" w:rsidP="0017269A">
      <w:pPr>
        <w:pStyle w:val="CommentText"/>
      </w:pPr>
      <w:r>
        <w:rPr>
          <w:rStyle w:val="CommentReference"/>
        </w:rPr>
        <w:annotationRef/>
      </w:r>
      <w:r>
        <w:t>Bc16 bc18</w:t>
      </w:r>
    </w:p>
  </w:comment>
  <w:comment w:id="5" w:author="Editor" w:date="2026-05-05T06:55:00Z" w:initials="N">
    <w:p w14:paraId="2D0E18FC" w14:textId="77777777" w:rsidR="0017269A" w:rsidRDefault="0017269A" w:rsidP="0017269A">
      <w:pPr>
        <w:pStyle w:val="CommentText"/>
      </w:pPr>
      <w:r>
        <w:rPr>
          <w:rStyle w:val="CommentReference"/>
        </w:rPr>
        <w:annotationRef/>
      </w:r>
      <w:r>
        <w:t xml:space="preserve">Lacks clarity </w:t>
      </w:r>
    </w:p>
  </w:comment>
  <w:comment w:id="6" w:author="Editor" w:date="2026-05-05T06:56:00Z" w:initials="N">
    <w:p w14:paraId="596FC2D7" w14:textId="77777777" w:rsidR="0017269A" w:rsidRDefault="0017269A" w:rsidP="0017269A">
      <w:pPr>
        <w:pStyle w:val="CommentText"/>
      </w:pPr>
      <w:r>
        <w:rPr>
          <w:rStyle w:val="CommentReference"/>
        </w:rPr>
        <w:annotationRef/>
      </w:r>
      <w:r>
        <w:t>bc18</w:t>
      </w:r>
    </w:p>
  </w:comment>
  <w:comment w:id="7" w:author="Editor" w:date="2026-05-05T07:01:00Z" w:initials="N">
    <w:p w14:paraId="5632841B" w14:textId="77777777" w:rsidR="006C19A7" w:rsidRDefault="006C19A7" w:rsidP="006C19A7">
      <w:pPr>
        <w:pStyle w:val="CommentText"/>
      </w:pPr>
      <w:r>
        <w:rPr>
          <w:rStyle w:val="CommentReference"/>
        </w:rPr>
        <w:annotationRef/>
      </w:r>
      <w:r>
        <w:t xml:space="preserve">How is this an impact? Bc33 </w:t>
      </w:r>
    </w:p>
  </w:comment>
  <w:comment w:id="8" w:author="Editor" w:date="2026-05-05T07:02:00Z" w:initials="N">
    <w:p w14:paraId="3459D024" w14:textId="77777777" w:rsidR="006C19A7" w:rsidRDefault="006C19A7" w:rsidP="006C19A7">
      <w:pPr>
        <w:pStyle w:val="CommentText"/>
      </w:pPr>
      <w:r>
        <w:rPr>
          <w:rStyle w:val="CommentReference"/>
        </w:rPr>
        <w:annotationRef/>
      </w:r>
      <w:r>
        <w:t xml:space="preserve">However </w:t>
      </w:r>
    </w:p>
  </w:comment>
  <w:comment w:id="9" w:author="Editor" w:date="2026-05-05T07:02:00Z" w:initials="N">
    <w:p w14:paraId="3D4D529C" w14:textId="77777777" w:rsidR="006C19A7" w:rsidRDefault="006C19A7" w:rsidP="006C19A7">
      <w:pPr>
        <w:pStyle w:val="CommentText"/>
      </w:pPr>
      <w:r>
        <w:rPr>
          <w:rStyle w:val="CommentReference"/>
        </w:rPr>
        <w:annotationRef/>
      </w:r>
      <w:r>
        <w:t>Bc32 bc33</w:t>
      </w:r>
    </w:p>
  </w:comment>
  <w:comment w:id="10" w:author="Editor" w:date="2026-05-05T07:03:00Z" w:initials="N">
    <w:p w14:paraId="687064FB" w14:textId="77777777" w:rsidR="006C19A7" w:rsidRDefault="006C19A7" w:rsidP="006C19A7">
      <w:pPr>
        <w:pStyle w:val="CommentText"/>
      </w:pPr>
      <w:r>
        <w:rPr>
          <w:rStyle w:val="CommentReference"/>
        </w:rPr>
        <w:annotationRef/>
      </w:r>
      <w:r>
        <w:t>bc16</w:t>
      </w:r>
    </w:p>
  </w:comment>
  <w:comment w:id="11" w:author="Editor" w:date="2026-05-05T07:03:00Z" w:initials="N">
    <w:p w14:paraId="6303B8A4" w14:textId="77777777" w:rsidR="006C19A7" w:rsidRDefault="006C19A7" w:rsidP="006C19A7">
      <w:pPr>
        <w:pStyle w:val="CommentText"/>
      </w:pPr>
      <w:r>
        <w:rPr>
          <w:rStyle w:val="CommentReference"/>
        </w:rPr>
        <w:annotationRef/>
      </w:r>
      <w:r>
        <w:t>bc18</w:t>
      </w:r>
    </w:p>
  </w:comment>
  <w:comment w:id="12" w:author="Editor" w:date="2026-05-05T07:03:00Z" w:initials="N">
    <w:p w14:paraId="3C8FEB52" w14:textId="77777777" w:rsidR="006C19A7" w:rsidRDefault="006C19A7" w:rsidP="006C19A7">
      <w:pPr>
        <w:pStyle w:val="CommentText"/>
      </w:pPr>
      <w:r>
        <w:rPr>
          <w:rStyle w:val="CommentReference"/>
        </w:rPr>
        <w:annotationRef/>
      </w:r>
      <w:r>
        <w:t xml:space="preserve">Remove </w:t>
      </w:r>
    </w:p>
  </w:comment>
  <w:comment w:id="13" w:author="Editor" w:date="2026-05-05T07:05:00Z" w:initials="N">
    <w:p w14:paraId="05AA15F8" w14:textId="77777777" w:rsidR="006C19A7" w:rsidRDefault="006C19A7" w:rsidP="006C19A7">
      <w:pPr>
        <w:pStyle w:val="CommentText"/>
      </w:pPr>
      <w:r>
        <w:rPr>
          <w:rStyle w:val="CommentReference"/>
        </w:rPr>
        <w:annotationRef/>
      </w:r>
      <w:r>
        <w:t xml:space="preserve">Contextualize please. </w:t>
      </w:r>
    </w:p>
    <w:p w14:paraId="28FAD515" w14:textId="77777777" w:rsidR="006C19A7" w:rsidRDefault="006C19A7" w:rsidP="006C19A7">
      <w:pPr>
        <w:pStyle w:val="CommentText"/>
      </w:pPr>
      <w:r>
        <w:t>How would EOC respond in the case of bush fire. Instead of stating general role of EOC. Explain how it would act in the case a bush fire occurs bc5</w:t>
      </w:r>
    </w:p>
  </w:comment>
  <w:comment w:id="15" w:author="Editor" w:date="2026-05-05T07:06:00Z" w:initials="N">
    <w:p w14:paraId="2CEF0694" w14:textId="77777777" w:rsidR="006C19A7" w:rsidRDefault="006C19A7" w:rsidP="006C19A7">
      <w:pPr>
        <w:pStyle w:val="CommentText"/>
      </w:pPr>
      <w:r>
        <w:rPr>
          <w:rStyle w:val="CommentReference"/>
        </w:rPr>
        <w:annotationRef/>
      </w:r>
      <w:r>
        <w:t>Bc16 bc18 bc44</w:t>
      </w:r>
    </w:p>
  </w:comment>
  <w:comment w:id="16" w:author="Editor" w:date="2026-05-05T07:13:00Z" w:initials="N">
    <w:p w14:paraId="13482DD1" w14:textId="77777777" w:rsidR="002A7F65" w:rsidRDefault="002A7F65" w:rsidP="002A7F65">
      <w:pPr>
        <w:pStyle w:val="CommentText"/>
      </w:pPr>
      <w:r>
        <w:rPr>
          <w:rStyle w:val="CommentReference"/>
        </w:rPr>
        <w:annotationRef/>
      </w:r>
      <w:r>
        <w:t xml:space="preserve">Promoting dialogue how? </w:t>
      </w:r>
    </w:p>
  </w:comment>
  <w:comment w:id="14" w:author="Editor" w:date="2026-05-05T07:15:00Z" w:initials="N">
    <w:p w14:paraId="586BE7D8" w14:textId="27DE107F" w:rsidR="002A7F65" w:rsidRDefault="002A7F65" w:rsidP="002A7F65">
      <w:pPr>
        <w:pStyle w:val="CommentText"/>
      </w:pPr>
      <w:r>
        <w:rPr>
          <w:rStyle w:val="CommentReference"/>
        </w:rPr>
        <w:annotationRef/>
      </w:r>
      <w:r>
        <w:rPr>
          <w:noProof/>
        </w:rPr>
        <w:drawing>
          <wp:inline distT="0" distB="0" distL="0" distR="0" wp14:anchorId="0D2BA3B5" wp14:editId="332D5DF1">
            <wp:extent cx="5733415" cy="709295"/>
            <wp:effectExtent l="0" t="0" r="635" b="0"/>
            <wp:docPr id="10582991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9914" name="Picture 105829914" descr="Image"/>
                    <pic:cNvPicPr/>
                  </pic:nvPicPr>
                  <pic:blipFill>
                    <a:blip r:embed="rId1">
                      <a:extLst>
                        <a:ext uri="{28A0092B-C50C-407E-A947-70E740481C1C}">
                          <a14:useLocalDpi xmlns:a14="http://schemas.microsoft.com/office/drawing/2010/main" val="0"/>
                        </a:ext>
                      </a:extLst>
                    </a:blip>
                    <a:stretch>
                      <a:fillRect/>
                    </a:stretch>
                  </pic:blipFill>
                  <pic:spPr>
                    <a:xfrm>
                      <a:off x="0" y="0"/>
                      <a:ext cx="5733415" cy="709295"/>
                    </a:xfrm>
                    <a:prstGeom prst="rect">
                      <a:avLst/>
                    </a:prstGeom>
                  </pic:spPr>
                </pic:pic>
              </a:graphicData>
            </a:graphic>
          </wp:inline>
        </w:drawing>
      </w:r>
    </w:p>
    <w:p w14:paraId="3EAA3584" w14:textId="77777777" w:rsidR="002A7F65" w:rsidRDefault="002A7F65" w:rsidP="002A7F65">
      <w:pPr>
        <w:pStyle w:val="CommentText"/>
      </w:pPr>
      <w:r>
        <w:t>You need amproper strategy</w:t>
      </w:r>
    </w:p>
    <w:p w14:paraId="22D3DFF2" w14:textId="77777777" w:rsidR="002A7F65" w:rsidRDefault="002A7F65" w:rsidP="002A7F65">
      <w:pPr>
        <w:pStyle w:val="CommentText"/>
      </w:pPr>
      <w:r>
        <w:t>it reads more like a descriptive explanation of a framework than a clear, actionable strategic plan</w:t>
      </w:r>
    </w:p>
    <w:p w14:paraId="35431C55" w14:textId="77777777" w:rsidR="002A7F65" w:rsidRDefault="002A7F65" w:rsidP="002A7F65">
      <w:pPr>
        <w:pStyle w:val="CommentText"/>
      </w:pPr>
    </w:p>
    <w:p w14:paraId="62CCE0BF" w14:textId="77777777" w:rsidR="002A7F65" w:rsidRDefault="002A7F65" w:rsidP="002A7F65">
      <w:pPr>
        <w:pStyle w:val="CommentText"/>
      </w:pPr>
      <w:r>
        <w:t xml:space="preserve">Bc5 bc41  </w:t>
      </w:r>
    </w:p>
  </w:comment>
  <w:comment w:id="17" w:author="Editor" w:date="2026-05-05T07:15:00Z" w:initials="N">
    <w:p w14:paraId="6E79BCCA" w14:textId="77777777" w:rsidR="002A7F65" w:rsidRDefault="002A7F65" w:rsidP="002A7F65">
      <w:pPr>
        <w:pStyle w:val="CommentText"/>
      </w:pPr>
      <w:r>
        <w:rPr>
          <w:rStyle w:val="CommentReference"/>
        </w:rPr>
        <w:annotationRef/>
      </w:r>
      <w:r>
        <w:t>bc16</w:t>
      </w:r>
    </w:p>
  </w:comment>
  <w:comment w:id="18" w:author="Editor" w:date="2026-05-05T07:16:00Z" w:initials="N">
    <w:p w14:paraId="39E33297" w14:textId="77777777" w:rsidR="002A7F65" w:rsidRDefault="002A7F65" w:rsidP="002A7F65">
      <w:pPr>
        <w:pStyle w:val="CommentText"/>
      </w:pPr>
      <w:r>
        <w:rPr>
          <w:rStyle w:val="CommentReference"/>
        </w:rPr>
        <w:annotationRef/>
      </w:r>
      <w:r>
        <w:t>Why bold?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5715F5" w15:done="0"/>
  <w15:commentEx w15:paraId="23CB2852" w15:done="0"/>
  <w15:commentEx w15:paraId="68106EE3" w15:done="0"/>
  <w15:commentEx w15:paraId="58AFB8DE" w15:done="0"/>
  <w15:commentEx w15:paraId="4834E76E" w15:done="0"/>
  <w15:commentEx w15:paraId="2D0E18FC" w15:done="0"/>
  <w15:commentEx w15:paraId="596FC2D7" w15:done="0"/>
  <w15:commentEx w15:paraId="5632841B" w15:done="0"/>
  <w15:commentEx w15:paraId="3459D024" w15:done="0"/>
  <w15:commentEx w15:paraId="3D4D529C" w15:done="0"/>
  <w15:commentEx w15:paraId="687064FB" w15:done="0"/>
  <w15:commentEx w15:paraId="6303B8A4" w15:done="0"/>
  <w15:commentEx w15:paraId="3C8FEB52" w15:done="0"/>
  <w15:commentEx w15:paraId="28FAD515" w15:done="0"/>
  <w15:commentEx w15:paraId="2CEF0694" w15:done="0"/>
  <w15:commentEx w15:paraId="13482DD1" w15:done="0"/>
  <w15:commentEx w15:paraId="62CCE0BF" w15:done="0"/>
  <w15:commentEx w15:paraId="6E79BCCA" w15:done="0"/>
  <w15:commentEx w15:paraId="39E332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901486" w16cex:dateUtc="2026-05-05T01:47:00Z"/>
  <w16cex:commentExtensible w16cex:durableId="7676C49E" w16cex:dateUtc="2026-05-05T01:47:00Z"/>
  <w16cex:commentExtensible w16cex:durableId="0C28F1A3" w16cex:dateUtc="2026-05-05T01:54:00Z"/>
  <w16cex:commentExtensible w16cex:durableId="07DE28F7" w16cex:dateUtc="2026-05-05T01:54:00Z"/>
  <w16cex:commentExtensible w16cex:durableId="24588916" w16cex:dateUtc="2026-05-05T01:55:00Z"/>
  <w16cex:commentExtensible w16cex:durableId="688A8E67" w16cex:dateUtc="2026-05-05T01:55:00Z"/>
  <w16cex:commentExtensible w16cex:durableId="21C5C67E" w16cex:dateUtc="2026-05-05T01:56:00Z"/>
  <w16cex:commentExtensible w16cex:durableId="4B48A765" w16cex:dateUtc="2026-05-05T02:01:00Z"/>
  <w16cex:commentExtensible w16cex:durableId="724874F6" w16cex:dateUtc="2026-05-05T02:02:00Z"/>
  <w16cex:commentExtensible w16cex:durableId="569D6919" w16cex:dateUtc="2026-05-05T02:02:00Z"/>
  <w16cex:commentExtensible w16cex:durableId="28724405" w16cex:dateUtc="2026-05-05T02:03:00Z"/>
  <w16cex:commentExtensible w16cex:durableId="22184CE2" w16cex:dateUtc="2026-05-05T02:03:00Z"/>
  <w16cex:commentExtensible w16cex:durableId="003643B9" w16cex:dateUtc="2026-05-05T02:03:00Z"/>
  <w16cex:commentExtensible w16cex:durableId="2945E014" w16cex:dateUtc="2026-05-05T02:05:00Z"/>
  <w16cex:commentExtensible w16cex:durableId="2F0E8ACE" w16cex:dateUtc="2026-05-05T02:06:00Z"/>
  <w16cex:commentExtensible w16cex:durableId="2471C059" w16cex:dateUtc="2026-05-05T02:13:00Z"/>
  <w16cex:commentExtensible w16cex:durableId="788A4F0E" w16cex:dateUtc="2026-05-05T02:15:00Z"/>
  <w16cex:commentExtensible w16cex:durableId="303B89E7" w16cex:dateUtc="2026-05-05T02:15:00Z"/>
  <w16cex:commentExtensible w16cex:durableId="41DCE69C" w16cex:dateUtc="2026-05-05T0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5715F5" w16cid:durableId="6D901486"/>
  <w16cid:commentId w16cid:paraId="23CB2852" w16cid:durableId="7676C49E"/>
  <w16cid:commentId w16cid:paraId="68106EE3" w16cid:durableId="0C28F1A3"/>
  <w16cid:commentId w16cid:paraId="58AFB8DE" w16cid:durableId="07DE28F7"/>
  <w16cid:commentId w16cid:paraId="4834E76E" w16cid:durableId="24588916"/>
  <w16cid:commentId w16cid:paraId="2D0E18FC" w16cid:durableId="688A8E67"/>
  <w16cid:commentId w16cid:paraId="596FC2D7" w16cid:durableId="21C5C67E"/>
  <w16cid:commentId w16cid:paraId="5632841B" w16cid:durableId="4B48A765"/>
  <w16cid:commentId w16cid:paraId="3459D024" w16cid:durableId="724874F6"/>
  <w16cid:commentId w16cid:paraId="3D4D529C" w16cid:durableId="569D6919"/>
  <w16cid:commentId w16cid:paraId="687064FB" w16cid:durableId="28724405"/>
  <w16cid:commentId w16cid:paraId="6303B8A4" w16cid:durableId="22184CE2"/>
  <w16cid:commentId w16cid:paraId="3C8FEB52" w16cid:durableId="003643B9"/>
  <w16cid:commentId w16cid:paraId="28FAD515" w16cid:durableId="2945E014"/>
  <w16cid:commentId w16cid:paraId="2CEF0694" w16cid:durableId="2F0E8ACE"/>
  <w16cid:commentId w16cid:paraId="13482DD1" w16cid:durableId="2471C059"/>
  <w16cid:commentId w16cid:paraId="62CCE0BF" w16cid:durableId="788A4F0E"/>
  <w16cid:commentId w16cid:paraId="6E79BCCA" w16cid:durableId="303B89E7"/>
  <w16cid:commentId w16cid:paraId="39E33297" w16cid:durableId="41DCE6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0F1B5" w14:textId="77777777" w:rsidR="000340F1" w:rsidRDefault="000340F1">
      <w:pPr>
        <w:spacing w:line="240" w:lineRule="auto"/>
      </w:pPr>
      <w:r>
        <w:separator/>
      </w:r>
    </w:p>
  </w:endnote>
  <w:endnote w:type="continuationSeparator" w:id="0">
    <w:p w14:paraId="0E9B48F7" w14:textId="77777777" w:rsidR="000340F1" w:rsidRDefault="000340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60B5BB-6D01-4B2C-BA4D-68CA460FFDA9}"/>
  </w:font>
  <w:font w:name="Cambria">
    <w:panose1 w:val="02040503050406030204"/>
    <w:charset w:val="00"/>
    <w:family w:val="roman"/>
    <w:pitch w:val="variable"/>
    <w:sig w:usb0="E00006FF" w:usb1="420024FF" w:usb2="02000000" w:usb3="00000000" w:csb0="0000019F" w:csb1="00000000"/>
    <w:embedRegular r:id="rId2" w:fontKey="{D5D632F8-E2D8-4C54-B007-9610E3F578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9EC07" w14:textId="77777777" w:rsidR="000340F1" w:rsidRDefault="000340F1">
      <w:pPr>
        <w:spacing w:line="240" w:lineRule="auto"/>
      </w:pPr>
      <w:r>
        <w:separator/>
      </w:r>
    </w:p>
  </w:footnote>
  <w:footnote w:type="continuationSeparator" w:id="0">
    <w:p w14:paraId="7FBC4668" w14:textId="77777777" w:rsidR="000340F1" w:rsidRDefault="000340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E5A07"/>
    <w:multiLevelType w:val="multilevel"/>
    <w:tmpl w:val="25AA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06A75"/>
    <w:multiLevelType w:val="multilevel"/>
    <w:tmpl w:val="9F78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EB1DB4"/>
    <w:multiLevelType w:val="multilevel"/>
    <w:tmpl w:val="974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924B9E"/>
    <w:multiLevelType w:val="multilevel"/>
    <w:tmpl w:val="596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 w:numId="2" w16cid:durableId="437454402">
    <w:abstractNumId w:val="3"/>
  </w:num>
  <w:num w:numId="3" w16cid:durableId="1058825152">
    <w:abstractNumId w:val="5"/>
  </w:num>
  <w:num w:numId="4" w16cid:durableId="1425957986">
    <w:abstractNumId w:val="7"/>
  </w:num>
  <w:num w:numId="5" w16cid:durableId="632180496">
    <w:abstractNumId w:val="4"/>
  </w:num>
  <w:num w:numId="6" w16cid:durableId="817845291">
    <w:abstractNumId w:val="1"/>
  </w:num>
  <w:num w:numId="7" w16cid:durableId="1196847758">
    <w:abstractNumId w:val="2"/>
  </w:num>
  <w:num w:numId="8" w16cid:durableId="168343784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1CA1"/>
    <w:rsid w:val="0002393F"/>
    <w:rsid w:val="00025392"/>
    <w:rsid w:val="00025755"/>
    <w:rsid w:val="0002628D"/>
    <w:rsid w:val="000340F1"/>
    <w:rsid w:val="00036911"/>
    <w:rsid w:val="000602DD"/>
    <w:rsid w:val="000623C9"/>
    <w:rsid w:val="00072C0E"/>
    <w:rsid w:val="000840C5"/>
    <w:rsid w:val="00097733"/>
    <w:rsid w:val="000A06F7"/>
    <w:rsid w:val="000B04AE"/>
    <w:rsid w:val="000B08D9"/>
    <w:rsid w:val="000B2A5E"/>
    <w:rsid w:val="000B57C9"/>
    <w:rsid w:val="000C772B"/>
    <w:rsid w:val="000D23C1"/>
    <w:rsid w:val="000E0558"/>
    <w:rsid w:val="000E3F23"/>
    <w:rsid w:val="000E4D8D"/>
    <w:rsid w:val="00106575"/>
    <w:rsid w:val="0010731F"/>
    <w:rsid w:val="00115372"/>
    <w:rsid w:val="00130433"/>
    <w:rsid w:val="00135FE7"/>
    <w:rsid w:val="001446F3"/>
    <w:rsid w:val="00146AC4"/>
    <w:rsid w:val="00147A36"/>
    <w:rsid w:val="00156F1A"/>
    <w:rsid w:val="001629CB"/>
    <w:rsid w:val="00165338"/>
    <w:rsid w:val="001670CC"/>
    <w:rsid w:val="0017269A"/>
    <w:rsid w:val="00177A79"/>
    <w:rsid w:val="001C2F46"/>
    <w:rsid w:val="001C6E9C"/>
    <w:rsid w:val="001E06CB"/>
    <w:rsid w:val="001F0E96"/>
    <w:rsid w:val="001F34EA"/>
    <w:rsid w:val="001F6420"/>
    <w:rsid w:val="001F74BD"/>
    <w:rsid w:val="00211C2F"/>
    <w:rsid w:val="002257DD"/>
    <w:rsid w:val="00226B02"/>
    <w:rsid w:val="002340F5"/>
    <w:rsid w:val="00255E40"/>
    <w:rsid w:val="002650A5"/>
    <w:rsid w:val="002722B9"/>
    <w:rsid w:val="002747B5"/>
    <w:rsid w:val="002A1518"/>
    <w:rsid w:val="002A26CB"/>
    <w:rsid w:val="002A4AC3"/>
    <w:rsid w:val="002A7F65"/>
    <w:rsid w:val="002D172A"/>
    <w:rsid w:val="002D4423"/>
    <w:rsid w:val="002E0669"/>
    <w:rsid w:val="002E2E6C"/>
    <w:rsid w:val="003228C2"/>
    <w:rsid w:val="00332293"/>
    <w:rsid w:val="003363A8"/>
    <w:rsid w:val="00341146"/>
    <w:rsid w:val="003419A2"/>
    <w:rsid w:val="003526B8"/>
    <w:rsid w:val="003565B3"/>
    <w:rsid w:val="00386E6C"/>
    <w:rsid w:val="00392FCE"/>
    <w:rsid w:val="003A2B63"/>
    <w:rsid w:val="003B1ECD"/>
    <w:rsid w:val="003C78FE"/>
    <w:rsid w:val="003D59C7"/>
    <w:rsid w:val="003E5015"/>
    <w:rsid w:val="00436A4C"/>
    <w:rsid w:val="00446D63"/>
    <w:rsid w:val="0046149B"/>
    <w:rsid w:val="00462C7E"/>
    <w:rsid w:val="0046446E"/>
    <w:rsid w:val="004738BB"/>
    <w:rsid w:val="00482390"/>
    <w:rsid w:val="004B1F6B"/>
    <w:rsid w:val="004D0FB0"/>
    <w:rsid w:val="004D3173"/>
    <w:rsid w:val="004E0742"/>
    <w:rsid w:val="004E74D9"/>
    <w:rsid w:val="004E758B"/>
    <w:rsid w:val="005026B8"/>
    <w:rsid w:val="00505682"/>
    <w:rsid w:val="0050685E"/>
    <w:rsid w:val="00521197"/>
    <w:rsid w:val="00521EF5"/>
    <w:rsid w:val="0054283E"/>
    <w:rsid w:val="00546C90"/>
    <w:rsid w:val="00557F5D"/>
    <w:rsid w:val="00562AC5"/>
    <w:rsid w:val="00564648"/>
    <w:rsid w:val="00584F49"/>
    <w:rsid w:val="00594ADC"/>
    <w:rsid w:val="005B3E1B"/>
    <w:rsid w:val="005E5754"/>
    <w:rsid w:val="005F1592"/>
    <w:rsid w:val="0061004C"/>
    <w:rsid w:val="00636F2B"/>
    <w:rsid w:val="00642172"/>
    <w:rsid w:val="006553F8"/>
    <w:rsid w:val="00665468"/>
    <w:rsid w:val="00671709"/>
    <w:rsid w:val="006907C7"/>
    <w:rsid w:val="006A40D4"/>
    <w:rsid w:val="006B3C45"/>
    <w:rsid w:val="006C19A7"/>
    <w:rsid w:val="006C5923"/>
    <w:rsid w:val="006D6E3F"/>
    <w:rsid w:val="006E0136"/>
    <w:rsid w:val="006E2406"/>
    <w:rsid w:val="006E2456"/>
    <w:rsid w:val="00705271"/>
    <w:rsid w:val="00706F36"/>
    <w:rsid w:val="007101BD"/>
    <w:rsid w:val="00730B9F"/>
    <w:rsid w:val="00742AF7"/>
    <w:rsid w:val="00745426"/>
    <w:rsid w:val="00774BEC"/>
    <w:rsid w:val="00776717"/>
    <w:rsid w:val="0078379F"/>
    <w:rsid w:val="007B184A"/>
    <w:rsid w:val="007C3D28"/>
    <w:rsid w:val="007C6672"/>
    <w:rsid w:val="007D08E4"/>
    <w:rsid w:val="007D2307"/>
    <w:rsid w:val="007D4F35"/>
    <w:rsid w:val="007D78FE"/>
    <w:rsid w:val="007E0D13"/>
    <w:rsid w:val="00801466"/>
    <w:rsid w:val="008333DF"/>
    <w:rsid w:val="00836C2D"/>
    <w:rsid w:val="0085667F"/>
    <w:rsid w:val="00860CB2"/>
    <w:rsid w:val="008725A0"/>
    <w:rsid w:val="00875314"/>
    <w:rsid w:val="00890750"/>
    <w:rsid w:val="00891E3C"/>
    <w:rsid w:val="008C25A2"/>
    <w:rsid w:val="008C64E2"/>
    <w:rsid w:val="008E23F2"/>
    <w:rsid w:val="008F10C7"/>
    <w:rsid w:val="008F5458"/>
    <w:rsid w:val="008F65E7"/>
    <w:rsid w:val="008F6743"/>
    <w:rsid w:val="009038AE"/>
    <w:rsid w:val="0092375F"/>
    <w:rsid w:val="00925ED9"/>
    <w:rsid w:val="009866CC"/>
    <w:rsid w:val="009A0562"/>
    <w:rsid w:val="009A3EBF"/>
    <w:rsid w:val="009C2CF0"/>
    <w:rsid w:val="009D4C12"/>
    <w:rsid w:val="009D5A5A"/>
    <w:rsid w:val="009E40B6"/>
    <w:rsid w:val="009E4EDE"/>
    <w:rsid w:val="00A4695A"/>
    <w:rsid w:val="00A556C7"/>
    <w:rsid w:val="00A87F37"/>
    <w:rsid w:val="00A94489"/>
    <w:rsid w:val="00A95F2E"/>
    <w:rsid w:val="00A974F7"/>
    <w:rsid w:val="00AC0A82"/>
    <w:rsid w:val="00AC3953"/>
    <w:rsid w:val="00AC6428"/>
    <w:rsid w:val="00AD2F9F"/>
    <w:rsid w:val="00AD4D1A"/>
    <w:rsid w:val="00AE6D0D"/>
    <w:rsid w:val="00AF4C3C"/>
    <w:rsid w:val="00B04998"/>
    <w:rsid w:val="00B134F8"/>
    <w:rsid w:val="00B2702E"/>
    <w:rsid w:val="00B303A6"/>
    <w:rsid w:val="00B37053"/>
    <w:rsid w:val="00B50D75"/>
    <w:rsid w:val="00B72739"/>
    <w:rsid w:val="00B77D2C"/>
    <w:rsid w:val="00B82144"/>
    <w:rsid w:val="00B878EB"/>
    <w:rsid w:val="00BA4520"/>
    <w:rsid w:val="00BB12E8"/>
    <w:rsid w:val="00BE2E55"/>
    <w:rsid w:val="00BF7431"/>
    <w:rsid w:val="00C02971"/>
    <w:rsid w:val="00C37401"/>
    <w:rsid w:val="00C6053C"/>
    <w:rsid w:val="00C76CCA"/>
    <w:rsid w:val="00C93CC6"/>
    <w:rsid w:val="00C942A7"/>
    <w:rsid w:val="00CA6A16"/>
    <w:rsid w:val="00CB27F1"/>
    <w:rsid w:val="00CC4140"/>
    <w:rsid w:val="00CF4C32"/>
    <w:rsid w:val="00D00FD8"/>
    <w:rsid w:val="00D1683A"/>
    <w:rsid w:val="00D2039A"/>
    <w:rsid w:val="00D2276C"/>
    <w:rsid w:val="00D52688"/>
    <w:rsid w:val="00D657AB"/>
    <w:rsid w:val="00D7342D"/>
    <w:rsid w:val="00D7681D"/>
    <w:rsid w:val="00D80C0A"/>
    <w:rsid w:val="00D832DD"/>
    <w:rsid w:val="00DA7ED3"/>
    <w:rsid w:val="00DC09B2"/>
    <w:rsid w:val="00DD5EB3"/>
    <w:rsid w:val="00DE4E0D"/>
    <w:rsid w:val="00DF02A5"/>
    <w:rsid w:val="00DF2A2D"/>
    <w:rsid w:val="00E027E7"/>
    <w:rsid w:val="00E02E9A"/>
    <w:rsid w:val="00E0486B"/>
    <w:rsid w:val="00E13DD1"/>
    <w:rsid w:val="00E338BF"/>
    <w:rsid w:val="00E71259"/>
    <w:rsid w:val="00E7685F"/>
    <w:rsid w:val="00E77114"/>
    <w:rsid w:val="00EB5A2D"/>
    <w:rsid w:val="00EB62C4"/>
    <w:rsid w:val="00ED361B"/>
    <w:rsid w:val="00EE355A"/>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Editor</cp:lastModifiedBy>
  <cp:revision>2</cp:revision>
  <dcterms:created xsi:type="dcterms:W3CDTF">2026-05-05T02:16:00Z</dcterms:created>
  <dcterms:modified xsi:type="dcterms:W3CDTF">2026-05-05T02:16:00Z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