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r w:rsidRPr="00A05DED">
        <w:rPr>
          <w:rFonts w:ascii="Times New Roman" w:hAnsi="Times New Roman" w:cs="Times New Roman"/>
          <w:sz w:val="24"/>
          <w:szCs w:val="24"/>
        </w:rPr>
        <w:t>Entrepreneurial Architecture and Change Management Process at Courts Guyana Inc.</w:t>
      </w: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r w:rsidRPr="00A05DED">
        <w:rPr>
          <w:rFonts w:ascii="Times New Roman" w:hAnsi="Times New Roman" w:cs="Times New Roman"/>
          <w:sz w:val="24"/>
          <w:szCs w:val="24"/>
        </w:rPr>
        <w:t>Name of Author</w:t>
      </w:r>
    </w:p>
    <w:p w:rsidR="00A05DED" w:rsidRPr="00A05DED" w:rsidRDefault="00A05DED" w:rsidP="00A05DED">
      <w:pPr>
        <w:spacing w:after="0" w:line="480" w:lineRule="auto"/>
        <w:jc w:val="center"/>
        <w:rPr>
          <w:rFonts w:ascii="Times New Roman" w:hAnsi="Times New Roman" w:cs="Times New Roman"/>
          <w:sz w:val="24"/>
          <w:szCs w:val="24"/>
        </w:rPr>
      </w:pPr>
      <w:r w:rsidRPr="00A05DED">
        <w:rPr>
          <w:rFonts w:ascii="Times New Roman" w:hAnsi="Times New Roman" w:cs="Times New Roman"/>
          <w:sz w:val="24"/>
          <w:szCs w:val="24"/>
        </w:rPr>
        <w:t>[Name of the Institution Affiliated]</w:t>
      </w: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p>
    <w:p w:rsidR="00A05DED" w:rsidRPr="00A05DED" w:rsidRDefault="00A05DED" w:rsidP="00A05DED">
      <w:pPr>
        <w:spacing w:after="0" w:line="480" w:lineRule="auto"/>
        <w:jc w:val="center"/>
        <w:rPr>
          <w:rFonts w:ascii="Times New Roman" w:hAnsi="Times New Roman" w:cs="Times New Roman"/>
          <w:sz w:val="24"/>
          <w:szCs w:val="24"/>
        </w:rPr>
      </w:pPr>
      <w:r w:rsidRPr="00A05DED">
        <w:rPr>
          <w:rFonts w:ascii="Times New Roman" w:hAnsi="Times New Roman" w:cs="Times New Roman"/>
          <w:sz w:val="24"/>
          <w:szCs w:val="24"/>
        </w:rPr>
        <w:t>Date</w:t>
      </w:r>
    </w:p>
    <w:p w:rsidR="00A05DED" w:rsidRPr="00A05DED" w:rsidRDefault="00A05DED" w:rsidP="00A05DED">
      <w:pPr>
        <w:pStyle w:val="Heading1"/>
        <w:spacing w:before="0" w:line="480" w:lineRule="auto"/>
        <w:rPr>
          <w:rFonts w:eastAsia="Times New Roman" w:cs="Times New Roman"/>
          <w:i w:val="0"/>
          <w:szCs w:val="24"/>
        </w:rPr>
      </w:pPr>
      <w:r w:rsidRPr="00A05DED">
        <w:rPr>
          <w:rFonts w:cs="Times New Roman"/>
          <w:szCs w:val="24"/>
        </w:rPr>
        <w:br w:type="page"/>
      </w:r>
      <w:bookmarkStart w:id="0" w:name="_GoBack"/>
      <w:bookmarkEnd w:id="0"/>
    </w:p>
    <w:p w:rsidR="00A05DED" w:rsidRPr="00A05DED" w:rsidRDefault="00A05DED" w:rsidP="00A05DED">
      <w:pPr>
        <w:pStyle w:val="Heading1"/>
        <w:spacing w:before="0" w:line="480" w:lineRule="auto"/>
        <w:rPr>
          <w:rFonts w:cs="Times New Roman"/>
          <w:szCs w:val="24"/>
        </w:rPr>
      </w:pPr>
      <w:bookmarkStart w:id="1" w:name="_Toc228760556"/>
      <w:r w:rsidRPr="00A05DED">
        <w:rPr>
          <w:rFonts w:cs="Times New Roman"/>
          <w:szCs w:val="24"/>
        </w:rPr>
        <w:lastRenderedPageBreak/>
        <w:t>Executive Summary</w:t>
      </w:r>
      <w:bookmarkEnd w:id="1"/>
    </w:p>
    <w:p w:rsidR="00A05DED" w:rsidRPr="00A05DED" w:rsidRDefault="00A05DED" w:rsidP="00A05DED">
      <w:pPr>
        <w:spacing w:after="0" w:line="480" w:lineRule="auto"/>
        <w:ind w:firstLine="720"/>
        <w:rPr>
          <w:rFonts w:ascii="Times New Roman" w:hAnsi="Times New Roman" w:cs="Times New Roman"/>
          <w:sz w:val="24"/>
          <w:szCs w:val="24"/>
        </w:rPr>
      </w:pPr>
      <w:r w:rsidRPr="00A05DED">
        <w:rPr>
          <w:rFonts w:ascii="Times New Roman" w:hAnsi="Times New Roman" w:cs="Times New Roman"/>
          <w:sz w:val="24"/>
          <w:szCs w:val="24"/>
        </w:rPr>
        <w:t xml:space="preserve">Courts Guyana Inc. operates in a competitive retail industry, where ever-changing customer demands, </w:t>
      </w:r>
      <w:proofErr w:type="spellStart"/>
      <w:r w:rsidRPr="00A05DED">
        <w:rPr>
          <w:rFonts w:ascii="Times New Roman" w:hAnsi="Times New Roman" w:cs="Times New Roman"/>
          <w:sz w:val="24"/>
          <w:szCs w:val="24"/>
        </w:rPr>
        <w:t>digitalisation</w:t>
      </w:r>
      <w:proofErr w:type="spellEnd"/>
      <w:r w:rsidRPr="00A05DED">
        <w:rPr>
          <w:rFonts w:ascii="Times New Roman" w:hAnsi="Times New Roman" w:cs="Times New Roman"/>
          <w:sz w:val="24"/>
          <w:szCs w:val="24"/>
        </w:rPr>
        <w:t xml:space="preserve">, and operational pressures require continuous creativity, innovation, and entrepreneurship to achieve long-term success. This consultancy report critically evaluates how the </w:t>
      </w:r>
      <w:proofErr w:type="spellStart"/>
      <w:r w:rsidRPr="00A05DED">
        <w:rPr>
          <w:rFonts w:ascii="Times New Roman" w:hAnsi="Times New Roman" w:cs="Times New Roman"/>
          <w:sz w:val="24"/>
          <w:szCs w:val="24"/>
        </w:rPr>
        <w:t>organisation</w:t>
      </w:r>
      <w:proofErr w:type="spellEnd"/>
      <w:r w:rsidRPr="00A05DED">
        <w:rPr>
          <w:rFonts w:ascii="Times New Roman" w:hAnsi="Times New Roman" w:cs="Times New Roman"/>
          <w:sz w:val="24"/>
          <w:szCs w:val="24"/>
        </w:rPr>
        <w:t xml:space="preserve"> can empower these capabilities by incorporating modern theories, models, and frameworks. The analysis is framed within two supplementary themes. First, it analyzes Entrepreneurial Architecture at Courts Guyana Inc. using the context of how creative and innovative culture, climate and leadership allow or limit recognition of opportunity, employee ownership of improvement and translation of ideas into value. The report brings out the significance of innovation, facilitating conditions like psychological ownership, interdependence, psychologically enabling climates, and leadership practices that support collective creativity and quantifiable learning. In addition, the report assesses the ways the Courts can cope with the change process successfully by utilizing the Kale</w:t>
      </w:r>
      <w:r w:rsidRPr="00A05DED">
        <w:rPr>
          <w:rFonts w:ascii="Times New Roman" w:hAnsi="Times New Roman" w:cs="Times New Roman"/>
          <w:sz w:val="24"/>
          <w:szCs w:val="24"/>
        </w:rPr>
        <w:t xml:space="preserve">idoscope Model and </w:t>
      </w:r>
      <w:proofErr w:type="spellStart"/>
      <w:r w:rsidRPr="00A05DED">
        <w:rPr>
          <w:rFonts w:ascii="Times New Roman" w:hAnsi="Times New Roman" w:cs="Times New Roman"/>
          <w:sz w:val="24"/>
          <w:szCs w:val="24"/>
        </w:rPr>
        <w:t>Jabri</w:t>
      </w:r>
      <w:proofErr w:type="spellEnd"/>
      <w:r w:rsidRPr="00A05DED">
        <w:rPr>
          <w:rFonts w:ascii="Times New Roman" w:hAnsi="Times New Roman" w:cs="Times New Roman"/>
          <w:sz w:val="24"/>
          <w:szCs w:val="24"/>
        </w:rPr>
        <w:t xml:space="preserve">. This </w:t>
      </w:r>
      <w:r w:rsidRPr="00A05DED">
        <w:rPr>
          <w:rFonts w:ascii="Times New Roman" w:hAnsi="Times New Roman" w:cs="Times New Roman"/>
          <w:sz w:val="24"/>
          <w:szCs w:val="24"/>
        </w:rPr>
        <w:t xml:space="preserve">explores contextual design options, including time, scope, preservation, diversity, capability, capacity, readiness, and power, as well as social processes of meaning making, communication, role identity, and politics. Both analyses are </w:t>
      </w:r>
      <w:proofErr w:type="spellStart"/>
      <w:r w:rsidRPr="00A05DED">
        <w:rPr>
          <w:rFonts w:ascii="Times New Roman" w:hAnsi="Times New Roman" w:cs="Times New Roman"/>
          <w:sz w:val="24"/>
          <w:szCs w:val="24"/>
        </w:rPr>
        <w:t>synthesised</w:t>
      </w:r>
      <w:proofErr w:type="spellEnd"/>
      <w:r w:rsidRPr="00A05DED">
        <w:rPr>
          <w:rFonts w:ascii="Times New Roman" w:hAnsi="Times New Roman" w:cs="Times New Roman"/>
          <w:sz w:val="24"/>
          <w:szCs w:val="24"/>
        </w:rPr>
        <w:t xml:space="preserve"> into recommendations in the report that would help in enhancing engagement, reducing resistance, improving coordination and maintaining change outcomes. It concludes by finding that Courts can enhance </w:t>
      </w:r>
      <w:proofErr w:type="spellStart"/>
      <w:r w:rsidRPr="00A05DED">
        <w:rPr>
          <w:rFonts w:ascii="Times New Roman" w:hAnsi="Times New Roman" w:cs="Times New Roman"/>
          <w:sz w:val="24"/>
          <w:szCs w:val="24"/>
        </w:rPr>
        <w:t>organisational</w:t>
      </w:r>
      <w:proofErr w:type="spellEnd"/>
      <w:r w:rsidRPr="00A05DED">
        <w:rPr>
          <w:rFonts w:ascii="Times New Roman" w:hAnsi="Times New Roman" w:cs="Times New Roman"/>
          <w:sz w:val="24"/>
          <w:szCs w:val="24"/>
        </w:rPr>
        <w:t xml:space="preserve"> flexibility through aligning leadership, culture and change management into a continuous improvement system.</w:t>
      </w:r>
    </w:p>
    <w:p w:rsidR="00A05DED" w:rsidRPr="00A05DED" w:rsidRDefault="00A05DED" w:rsidP="00A05DED">
      <w:pPr>
        <w:pStyle w:val="Heading1"/>
        <w:spacing w:before="0" w:line="480" w:lineRule="auto"/>
        <w:rPr>
          <w:rFonts w:eastAsia="Times New Roman" w:cs="Times New Roman"/>
          <w:szCs w:val="24"/>
        </w:rPr>
      </w:pPr>
    </w:p>
    <w:p w:rsidR="00A05DED" w:rsidRPr="00A05DED" w:rsidRDefault="00A05DED" w:rsidP="00A05DED">
      <w:pPr>
        <w:spacing w:after="0" w:line="480" w:lineRule="auto"/>
        <w:rPr>
          <w:rFonts w:ascii="Times New Roman" w:eastAsia="Times New Roman" w:hAnsi="Times New Roman" w:cs="Times New Roman"/>
          <w:b/>
          <w:i/>
          <w:color w:val="000000" w:themeColor="text1"/>
          <w:sz w:val="24"/>
          <w:szCs w:val="24"/>
        </w:rPr>
      </w:pPr>
      <w:r w:rsidRPr="00A05DED">
        <w:rPr>
          <w:rFonts w:ascii="Times New Roman" w:eastAsia="Times New Roman" w:hAnsi="Times New Roman" w:cs="Times New Roman"/>
          <w:sz w:val="24"/>
          <w:szCs w:val="24"/>
        </w:rPr>
        <w:br w:type="page"/>
      </w:r>
    </w:p>
    <w:sdt>
      <w:sdtPr>
        <w:rPr>
          <w:rFonts w:ascii="Times New Roman" w:hAnsi="Times New Roman" w:cs="Times New Roman"/>
          <w:b/>
          <w:i/>
          <w:color w:val="auto"/>
          <w:sz w:val="24"/>
          <w:szCs w:val="24"/>
        </w:rPr>
        <w:id w:val="539864638"/>
        <w:docPartObj>
          <w:docPartGallery w:val="Table of Contents"/>
          <w:docPartUnique/>
        </w:docPartObj>
      </w:sdtPr>
      <w:sdtEndPr>
        <w:rPr>
          <w:rFonts w:eastAsiaTheme="minorHAnsi"/>
          <w:bCs/>
          <w:i w:val="0"/>
          <w:noProof/>
        </w:rPr>
      </w:sdtEndPr>
      <w:sdtContent>
        <w:p w:rsidR="00A05DED" w:rsidRPr="00A05DED" w:rsidRDefault="00A05DED" w:rsidP="00A05DED">
          <w:pPr>
            <w:pStyle w:val="TOCHeading"/>
            <w:spacing w:before="0" w:line="480" w:lineRule="auto"/>
            <w:jc w:val="center"/>
            <w:rPr>
              <w:rFonts w:ascii="Times New Roman" w:hAnsi="Times New Roman" w:cs="Times New Roman"/>
              <w:b/>
              <w:i/>
              <w:color w:val="auto"/>
              <w:sz w:val="24"/>
              <w:szCs w:val="24"/>
            </w:rPr>
          </w:pPr>
          <w:r w:rsidRPr="00A05DED">
            <w:rPr>
              <w:rFonts w:ascii="Times New Roman" w:hAnsi="Times New Roman" w:cs="Times New Roman"/>
              <w:b/>
              <w:i/>
              <w:color w:val="auto"/>
              <w:sz w:val="24"/>
              <w:szCs w:val="24"/>
            </w:rPr>
            <w:t>Table of Contents</w:t>
          </w:r>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r w:rsidRPr="00A05DED">
            <w:rPr>
              <w:rFonts w:ascii="Times New Roman" w:hAnsi="Times New Roman" w:cs="Times New Roman"/>
              <w:b/>
              <w:bCs/>
              <w:noProof/>
              <w:sz w:val="24"/>
              <w:szCs w:val="24"/>
            </w:rPr>
            <w:fldChar w:fldCharType="begin"/>
          </w:r>
          <w:r w:rsidRPr="00A05DED">
            <w:rPr>
              <w:rFonts w:ascii="Times New Roman" w:hAnsi="Times New Roman" w:cs="Times New Roman"/>
              <w:b/>
              <w:bCs/>
              <w:noProof/>
              <w:sz w:val="24"/>
              <w:szCs w:val="24"/>
            </w:rPr>
            <w:instrText xml:space="preserve"> TOC \o "1-3" \h \z \u </w:instrText>
          </w:r>
          <w:r w:rsidRPr="00A05DED">
            <w:rPr>
              <w:rFonts w:ascii="Times New Roman" w:hAnsi="Times New Roman" w:cs="Times New Roman"/>
              <w:b/>
              <w:bCs/>
              <w:noProof/>
              <w:sz w:val="24"/>
              <w:szCs w:val="24"/>
            </w:rPr>
            <w:fldChar w:fldCharType="separate"/>
          </w:r>
          <w:hyperlink w:anchor="_Toc228760556" w:history="1">
            <w:r w:rsidRPr="00A05DED">
              <w:rPr>
                <w:rStyle w:val="Hyperlink"/>
                <w:rFonts w:ascii="Times New Roman" w:hAnsi="Times New Roman" w:cs="Times New Roman"/>
                <w:noProof/>
                <w:sz w:val="24"/>
                <w:szCs w:val="24"/>
              </w:rPr>
              <w:t>Executive Summary</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_Toc228760556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2</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57" w:history="1">
            <w:r w:rsidRPr="00A05DED">
              <w:rPr>
                <w:rStyle w:val="Hyperlink"/>
                <w:rFonts w:ascii="Times New Roman" w:eastAsia="Times New Roman" w:hAnsi="Times New Roman" w:cs="Times New Roman"/>
                <w:noProof/>
                <w:sz w:val="24"/>
                <w:szCs w:val="24"/>
              </w:rPr>
              <w:t>Overview of Courts Guyana Inc.</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_Toc228760557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4</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58" w:history="1">
            <w:r w:rsidRPr="00A05DED">
              <w:rPr>
                <w:rStyle w:val="Hyperlink"/>
                <w:rFonts w:ascii="Times New Roman" w:eastAsia="Times New Roman" w:hAnsi="Times New Roman" w:cs="Times New Roman"/>
                <w:noProof/>
                <w:sz w:val="24"/>
                <w:szCs w:val="24"/>
              </w:rPr>
              <w:t>Entrepreneurial Architecture</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_Toc228760558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4</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59" w:history="1">
            <w:r w:rsidRPr="00A05DED">
              <w:rPr>
                <w:rStyle w:val="Hyperlink"/>
                <w:rFonts w:ascii="Times New Roman" w:eastAsia="Times New Roman" w:hAnsi="Times New Roman" w:cs="Times New Roman"/>
                <w:noProof/>
                <w:sz w:val="24"/>
                <w:szCs w:val="24"/>
              </w:rPr>
              <w:t>Promoting Entrepreneurial Architecture</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_Toc228760559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5</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60" w:history="1">
            <w:r w:rsidRPr="00A05DED">
              <w:rPr>
                <w:rStyle w:val="Hyperlink"/>
                <w:rFonts w:ascii="Times New Roman" w:eastAsia="Times New Roman" w:hAnsi="Times New Roman" w:cs="Times New Roman"/>
                <w:noProof/>
                <w:sz w:val="24"/>
                <w:szCs w:val="24"/>
              </w:rPr>
              <w:t>Creative and Innovative Culture, Climate, and Leadership</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_Toc228760560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5</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61" w:history="1">
            <w:r w:rsidRPr="00A05DED">
              <w:rPr>
                <w:rStyle w:val="Hyperlink"/>
                <w:rFonts w:ascii="Times New Roman" w:hAnsi="Times New Roman" w:cs="Times New Roman"/>
                <w:noProof/>
                <w:sz w:val="24"/>
                <w:szCs w:val="24"/>
              </w:rPr>
              <w:t>Innovation Climate and Employee Innovative Behaviour</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_Toc228760561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5</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62" w:history="1">
            <w:r w:rsidRPr="00A05DED">
              <w:rPr>
                <w:rStyle w:val="Hyperlink"/>
                <w:rFonts w:ascii="Times New Roman" w:hAnsi="Times New Roman" w:cs="Times New Roman"/>
                <w:noProof/>
                <w:sz w:val="24"/>
                <w:szCs w:val="24"/>
              </w:rPr>
              <w:t>Psychosocial Safety Climate</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_Toc228760562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6</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63" w:history="1">
            <w:r w:rsidRPr="00A05DED">
              <w:rPr>
                <w:rStyle w:val="Hyperlink"/>
                <w:rFonts w:ascii="Times New Roman" w:hAnsi="Times New Roman" w:cs="Times New Roman"/>
                <w:noProof/>
                <w:sz w:val="24"/>
                <w:szCs w:val="24"/>
              </w:rPr>
              <w:t>Psychological Safety Practices</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_Toc228760563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7</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64" w:history="1">
            <w:r w:rsidRPr="00A05DED">
              <w:rPr>
                <w:rStyle w:val="Hyperlink"/>
                <w:rFonts w:ascii="Times New Roman" w:hAnsi="Times New Roman" w:cs="Times New Roman"/>
                <w:noProof/>
                <w:sz w:val="24"/>
                <w:szCs w:val="24"/>
              </w:rPr>
              <w:t>Leadership and Collective Creativity and Innovation</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_Toc228760564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7</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65" w:history="1">
            <w:r w:rsidRPr="00A05DED">
              <w:rPr>
                <w:rStyle w:val="Hyperlink"/>
                <w:rFonts w:ascii="Times New Roman" w:hAnsi="Times New Roman" w:cs="Times New Roman"/>
                <w:noProof/>
                <w:sz w:val="24"/>
                <w:szCs w:val="24"/>
              </w:rPr>
              <w:t>Last Mile Delivery Quality and Customer Experience</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_Toc228760565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8</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66" w:history="1">
            <w:r w:rsidRPr="00A05DED">
              <w:rPr>
                <w:rStyle w:val="Hyperlink"/>
                <w:rFonts w:ascii="Times New Roman" w:hAnsi="Times New Roman" w:cs="Times New Roman"/>
                <w:noProof/>
                <w:sz w:val="24"/>
                <w:szCs w:val="24"/>
              </w:rPr>
              <w:t>Judgement and Key Implications</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_Toc228760566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9</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67" w:history="1">
            <w:r w:rsidRPr="00A05DED">
              <w:rPr>
                <w:rStyle w:val="Hyperlink"/>
                <w:rFonts w:ascii="Times New Roman" w:eastAsia="Times New Roman" w:hAnsi="Times New Roman" w:cs="Times New Roman"/>
                <w:noProof/>
                <w:sz w:val="24"/>
                <w:szCs w:val="24"/>
              </w:rPr>
              <w:t>Managing the Change Process</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_Toc228760567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10</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68" w:history="1">
            <w:r w:rsidRPr="00A05DED">
              <w:rPr>
                <w:rStyle w:val="Hyperlink"/>
                <w:rFonts w:ascii="Times New Roman" w:eastAsia="Times New Roman" w:hAnsi="Times New Roman" w:cs="Times New Roman"/>
                <w:noProof/>
                <w:sz w:val="24"/>
                <w:szCs w:val="24"/>
              </w:rPr>
              <w:t>Kaleidoscope</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_Toc228760568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10</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69" w:history="1">
            <w:r w:rsidRPr="00A05DED">
              <w:rPr>
                <w:rStyle w:val="Hyperlink"/>
                <w:rFonts w:ascii="Times New Roman" w:hAnsi="Times New Roman" w:cs="Times New Roman"/>
                <w:noProof/>
                <w:sz w:val="24"/>
                <w:szCs w:val="24"/>
              </w:rPr>
              <w:t>Acceptance and Engagement</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_Toc228760569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10</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70" w:history="1">
            <w:r w:rsidRPr="00A05DED">
              <w:rPr>
                <w:rStyle w:val="Hyperlink"/>
                <w:rFonts w:ascii="Times New Roman" w:hAnsi="Times New Roman" w:cs="Times New Roman"/>
                <w:noProof/>
                <w:sz w:val="24"/>
                <w:szCs w:val="24"/>
              </w:rPr>
              <w:t>Stress and Middle Manager Capability</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_Toc228760570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11</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71" w:history="1">
            <w:r w:rsidRPr="00A05DED">
              <w:rPr>
                <w:rStyle w:val="Hyperlink"/>
                <w:rFonts w:ascii="Times New Roman" w:hAnsi="Times New Roman" w:cs="Times New Roman"/>
                <w:noProof/>
                <w:sz w:val="24"/>
                <w:szCs w:val="24"/>
              </w:rPr>
              <w:t>Coordination, Feedback Loops, and Psychological Safety</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_Toc228760571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11</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72" w:history="1">
            <w:r w:rsidRPr="00A05DED">
              <w:rPr>
                <w:rStyle w:val="Hyperlink"/>
                <w:rFonts w:ascii="Times New Roman" w:hAnsi="Times New Roman" w:cs="Times New Roman"/>
                <w:noProof/>
                <w:sz w:val="24"/>
                <w:szCs w:val="24"/>
              </w:rPr>
              <w:t>Coaching and Co-Creation of Routines</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_Toc228760572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12</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73" w:history="1">
            <w:r w:rsidRPr="00A05DED">
              <w:rPr>
                <w:rStyle w:val="Hyperlink"/>
                <w:rFonts w:ascii="Times New Roman" w:eastAsia="Times New Roman" w:hAnsi="Times New Roman" w:cs="Times New Roman"/>
                <w:noProof/>
                <w:sz w:val="24"/>
                <w:szCs w:val="24"/>
              </w:rPr>
              <w:t>Jabri</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_Toc228760573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13</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74" w:history="1">
            <w:r w:rsidRPr="00A05DED">
              <w:rPr>
                <w:rStyle w:val="Hyperlink"/>
                <w:rFonts w:ascii="Times New Roman" w:hAnsi="Times New Roman" w:cs="Times New Roman"/>
                <w:noProof/>
                <w:sz w:val="24"/>
                <w:szCs w:val="24"/>
              </w:rPr>
              <w:t>Meaning Making, Communication, and Dialogue</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_Toc228760574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13</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75" w:history="1">
            <w:r w:rsidRPr="00A05DED">
              <w:rPr>
                <w:rStyle w:val="Hyperlink"/>
                <w:rFonts w:ascii="Times New Roman" w:hAnsi="Times New Roman" w:cs="Times New Roman"/>
                <w:noProof/>
                <w:sz w:val="24"/>
                <w:szCs w:val="24"/>
              </w:rPr>
              <w:t>Identity, Roles, Power, and Politics</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_Toc228760575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14</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76" w:history="1">
            <w:r w:rsidRPr="00A05DED">
              <w:rPr>
                <w:rStyle w:val="Hyperlink"/>
                <w:rFonts w:ascii="Times New Roman" w:hAnsi="Times New Roman" w:cs="Times New Roman"/>
                <w:noProof/>
                <w:sz w:val="24"/>
                <w:szCs w:val="24"/>
              </w:rPr>
              <w:t>Implications and Managerial Actions</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_Toc228760576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15</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77" w:history="1">
            <w:r w:rsidRPr="00A05DED">
              <w:rPr>
                <w:rStyle w:val="Hyperlink"/>
                <w:rFonts w:ascii="Times New Roman" w:eastAsia="Times New Roman" w:hAnsi="Times New Roman" w:cs="Times New Roman"/>
                <w:noProof/>
                <w:sz w:val="24"/>
                <w:szCs w:val="24"/>
              </w:rPr>
              <w:t>Recommendations</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_Toc228760577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16</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78" w:history="1">
            <w:r w:rsidRPr="00A05DED">
              <w:rPr>
                <w:rStyle w:val="Hyperlink"/>
                <w:rFonts w:ascii="Times New Roman" w:hAnsi="Times New Roman" w:cs="Times New Roman"/>
                <w:noProof/>
                <w:sz w:val="24"/>
                <w:szCs w:val="24"/>
              </w:rPr>
              <w:t>Shared Ownership</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_Toc228760578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16</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79" w:history="1">
            <w:r w:rsidRPr="00A05DED">
              <w:rPr>
                <w:rStyle w:val="Hyperlink"/>
                <w:rFonts w:ascii="Times New Roman" w:hAnsi="Times New Roman" w:cs="Times New Roman"/>
                <w:noProof/>
                <w:sz w:val="24"/>
                <w:szCs w:val="24"/>
              </w:rPr>
              <w:t>Enabling Leadership</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_Toc228760579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16</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80" w:history="1">
            <w:r w:rsidRPr="00A05DED">
              <w:rPr>
                <w:rStyle w:val="Hyperlink"/>
                <w:rFonts w:ascii="Times New Roman" w:hAnsi="Times New Roman" w:cs="Times New Roman"/>
                <w:noProof/>
                <w:sz w:val="24"/>
                <w:szCs w:val="24"/>
              </w:rPr>
              <w:t>Phased Change Design</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_Toc228760580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17</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2"/>
            <w:tabs>
              <w:tab w:val="right" w:leader="dot" w:pos="9350"/>
            </w:tabs>
            <w:spacing w:after="0" w:line="480" w:lineRule="auto"/>
            <w:rPr>
              <w:rFonts w:ascii="Times New Roman" w:hAnsi="Times New Roman" w:cs="Times New Roman"/>
              <w:noProof/>
              <w:sz w:val="24"/>
              <w:szCs w:val="24"/>
            </w:rPr>
          </w:pPr>
          <w:hyperlink w:anchor="_Toc228760581" w:history="1">
            <w:r w:rsidRPr="00A05DED">
              <w:rPr>
                <w:rStyle w:val="Hyperlink"/>
                <w:rFonts w:ascii="Times New Roman" w:hAnsi="Times New Roman" w:cs="Times New Roman"/>
                <w:noProof/>
                <w:sz w:val="24"/>
                <w:szCs w:val="24"/>
              </w:rPr>
              <w:t>Co-created Routines</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_Toc228760581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17</w:t>
            </w:r>
            <w:r w:rsidRPr="00A05DED">
              <w:rPr>
                <w:rFonts w:ascii="Times New Roman" w:hAnsi="Times New Roman" w:cs="Times New Roman"/>
                <w:noProof/>
                <w:webHidden/>
                <w:sz w:val="24"/>
                <w:szCs w:val="24"/>
              </w:rPr>
              <w:fldChar w:fldCharType="end"/>
            </w:r>
          </w:hyperlink>
        </w:p>
        <w:p w:rsidR="00A05DED" w:rsidRPr="00A05DED" w:rsidRDefault="00A05DED" w:rsidP="00A05DED">
          <w:pPr>
            <w:pStyle w:val="TOC1"/>
            <w:tabs>
              <w:tab w:val="right" w:leader="dot" w:pos="9350"/>
            </w:tabs>
            <w:spacing w:after="0" w:line="480" w:lineRule="auto"/>
            <w:rPr>
              <w:rFonts w:ascii="Times New Roman" w:hAnsi="Times New Roman" w:cs="Times New Roman"/>
              <w:noProof/>
              <w:sz w:val="24"/>
              <w:szCs w:val="24"/>
            </w:rPr>
          </w:pPr>
          <w:hyperlink w:anchor="_Toc228760582" w:history="1">
            <w:r w:rsidRPr="00A05DED">
              <w:rPr>
                <w:rStyle w:val="Hyperlink"/>
                <w:rFonts w:ascii="Times New Roman" w:eastAsia="Times New Roman" w:hAnsi="Times New Roman" w:cs="Times New Roman"/>
                <w:noProof/>
                <w:sz w:val="24"/>
                <w:szCs w:val="24"/>
              </w:rPr>
              <w:t>Conclusion</w:t>
            </w:r>
            <w:r w:rsidRPr="00A05DED">
              <w:rPr>
                <w:rFonts w:ascii="Times New Roman" w:hAnsi="Times New Roman" w:cs="Times New Roman"/>
                <w:noProof/>
                <w:webHidden/>
                <w:sz w:val="24"/>
                <w:szCs w:val="24"/>
              </w:rPr>
              <w:tab/>
            </w:r>
            <w:r w:rsidRPr="00A05DED">
              <w:rPr>
                <w:rFonts w:ascii="Times New Roman" w:hAnsi="Times New Roman" w:cs="Times New Roman"/>
                <w:noProof/>
                <w:webHidden/>
                <w:sz w:val="24"/>
                <w:szCs w:val="24"/>
              </w:rPr>
              <w:fldChar w:fldCharType="begin"/>
            </w:r>
            <w:r w:rsidRPr="00A05DED">
              <w:rPr>
                <w:rFonts w:ascii="Times New Roman" w:hAnsi="Times New Roman" w:cs="Times New Roman"/>
                <w:noProof/>
                <w:webHidden/>
                <w:sz w:val="24"/>
                <w:szCs w:val="24"/>
              </w:rPr>
              <w:instrText xml:space="preserve"> PAGEREF _Toc228760582 \h </w:instrText>
            </w:r>
            <w:r w:rsidRPr="00A05DED">
              <w:rPr>
                <w:rFonts w:ascii="Times New Roman" w:hAnsi="Times New Roman" w:cs="Times New Roman"/>
                <w:noProof/>
                <w:webHidden/>
                <w:sz w:val="24"/>
                <w:szCs w:val="24"/>
              </w:rPr>
            </w:r>
            <w:r w:rsidRPr="00A05DED">
              <w:rPr>
                <w:rFonts w:ascii="Times New Roman" w:hAnsi="Times New Roman" w:cs="Times New Roman"/>
                <w:noProof/>
                <w:webHidden/>
                <w:sz w:val="24"/>
                <w:szCs w:val="24"/>
              </w:rPr>
              <w:fldChar w:fldCharType="separate"/>
            </w:r>
            <w:r w:rsidRPr="00A05DED">
              <w:rPr>
                <w:rFonts w:ascii="Times New Roman" w:hAnsi="Times New Roman" w:cs="Times New Roman"/>
                <w:noProof/>
                <w:webHidden/>
                <w:sz w:val="24"/>
                <w:szCs w:val="24"/>
              </w:rPr>
              <w:t>18</w:t>
            </w:r>
            <w:r w:rsidRPr="00A05DED">
              <w:rPr>
                <w:rFonts w:ascii="Times New Roman" w:hAnsi="Times New Roman" w:cs="Times New Roman"/>
                <w:noProof/>
                <w:webHidden/>
                <w:sz w:val="24"/>
                <w:szCs w:val="24"/>
              </w:rPr>
              <w:fldChar w:fldCharType="end"/>
            </w:r>
          </w:hyperlink>
        </w:p>
        <w:p w:rsidR="00A05DED" w:rsidRPr="00A05DED" w:rsidRDefault="00A05DED" w:rsidP="00A05DED">
          <w:pPr>
            <w:spacing w:after="0" w:line="480" w:lineRule="auto"/>
            <w:rPr>
              <w:rFonts w:ascii="Times New Roman" w:hAnsi="Times New Roman" w:cs="Times New Roman"/>
              <w:sz w:val="24"/>
              <w:szCs w:val="24"/>
            </w:rPr>
          </w:pPr>
          <w:r w:rsidRPr="00A05DED">
            <w:rPr>
              <w:rFonts w:ascii="Times New Roman" w:hAnsi="Times New Roman" w:cs="Times New Roman"/>
              <w:b/>
              <w:bCs/>
              <w:noProof/>
              <w:sz w:val="24"/>
              <w:szCs w:val="24"/>
            </w:rPr>
            <w:fldChar w:fldCharType="end"/>
          </w:r>
        </w:p>
      </w:sdtContent>
    </w:sdt>
    <w:p w:rsidR="00A05DED" w:rsidRPr="00A05DED" w:rsidRDefault="00A05DED" w:rsidP="00A05DED">
      <w:pPr>
        <w:spacing w:after="0" w:line="480" w:lineRule="auto"/>
        <w:rPr>
          <w:rFonts w:ascii="Times New Roman" w:eastAsia="Times New Roman" w:hAnsi="Times New Roman" w:cs="Times New Roman"/>
          <w:b/>
          <w:i/>
          <w:color w:val="000000" w:themeColor="text1"/>
          <w:sz w:val="24"/>
          <w:szCs w:val="24"/>
        </w:rPr>
      </w:pPr>
      <w:r w:rsidRPr="00A05DED">
        <w:rPr>
          <w:rFonts w:ascii="Times New Roman" w:eastAsia="Times New Roman" w:hAnsi="Times New Roman" w:cs="Times New Roman"/>
          <w:sz w:val="24"/>
          <w:szCs w:val="24"/>
        </w:rPr>
        <w:br w:type="page"/>
      </w:r>
    </w:p>
    <w:p w:rsidR="00311263" w:rsidRPr="00A05DED" w:rsidRDefault="00311263" w:rsidP="00A05DED">
      <w:pPr>
        <w:pStyle w:val="Heading1"/>
        <w:spacing w:before="0" w:line="480" w:lineRule="auto"/>
        <w:rPr>
          <w:rFonts w:eastAsia="Times New Roman" w:cs="Times New Roman"/>
          <w:szCs w:val="24"/>
        </w:rPr>
      </w:pPr>
      <w:bookmarkStart w:id="2" w:name="_Toc228760557"/>
      <w:r w:rsidRPr="00A05DED">
        <w:rPr>
          <w:rFonts w:eastAsia="Times New Roman" w:cs="Times New Roman"/>
          <w:szCs w:val="24"/>
        </w:rPr>
        <w:lastRenderedPageBreak/>
        <w:t xml:space="preserve">Overview of </w:t>
      </w:r>
      <w:r w:rsidRPr="00A05DED">
        <w:rPr>
          <w:rFonts w:eastAsia="Times New Roman" w:cs="Times New Roman"/>
          <w:szCs w:val="24"/>
        </w:rPr>
        <w:t>Courts Guyana Inc.</w:t>
      </w:r>
      <w:bookmarkEnd w:id="2"/>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Courts Guyana Inc. is a major retail outlet in the furniture and appliance industry in Guyana and is part of a regional corporate network that determines how systems, targets and operating routines are established. Being a customer-facing </w:t>
      </w:r>
      <w:proofErr w:type="spellStart"/>
      <w:r w:rsidRPr="00A05DED">
        <w:rPr>
          <w:rFonts w:ascii="Times New Roman" w:eastAsia="Times New Roman" w:hAnsi="Times New Roman" w:cs="Times New Roman"/>
          <w:bCs/>
          <w:sz w:val="24"/>
          <w:szCs w:val="24"/>
        </w:rPr>
        <w:t>organisation</w:t>
      </w:r>
      <w:proofErr w:type="spellEnd"/>
      <w:r w:rsidRPr="00A05DED">
        <w:rPr>
          <w:rFonts w:ascii="Times New Roman" w:eastAsia="Times New Roman" w:hAnsi="Times New Roman" w:cs="Times New Roman"/>
          <w:bCs/>
          <w:sz w:val="24"/>
          <w:szCs w:val="24"/>
        </w:rPr>
        <w:t>, Courts operates in an environment where customer expectations for services are increasing and where competitors can leverage improved processes, faster learning, and smarter coordination to win customer loyalty. This forms a dynamic international environment since customer standards and operational benchmarks are being shaped by digital retail practices, regional supply networks, and technology-enabled service models rather than by local traditions. In addition, creativity, innovation, entrepreneurship, and change capability are significant to Courts, as routine-based performance is no longer adequate to maintain their advantage. Courts need to have the capability to come up with useful ideas, test them in a very short time, and scale the improvements across functions like operations, sales, logistics, and customer care. Similarly, Courts need to bring change in a manner that employees can accept, adopt and maintain without any interference with the quality of service. Thus, this report assesses Courts in terms of two interconnected lenses, i</w:t>
      </w:r>
      <w:r w:rsidRPr="00A05DED">
        <w:rPr>
          <w:rFonts w:ascii="Times New Roman" w:eastAsia="Times New Roman" w:hAnsi="Times New Roman" w:cs="Times New Roman"/>
          <w:bCs/>
          <w:sz w:val="24"/>
          <w:szCs w:val="24"/>
        </w:rPr>
        <w:t>.e. e</w:t>
      </w:r>
      <w:r w:rsidRPr="00A05DED">
        <w:rPr>
          <w:rFonts w:ascii="Times New Roman" w:eastAsia="Times New Roman" w:hAnsi="Times New Roman" w:cs="Times New Roman"/>
          <w:bCs/>
          <w:sz w:val="24"/>
          <w:szCs w:val="24"/>
        </w:rPr>
        <w:t>n</w:t>
      </w:r>
      <w:r w:rsidRPr="00A05DED">
        <w:rPr>
          <w:rFonts w:ascii="Times New Roman" w:eastAsia="Times New Roman" w:hAnsi="Times New Roman" w:cs="Times New Roman"/>
          <w:bCs/>
          <w:sz w:val="24"/>
          <w:szCs w:val="24"/>
        </w:rPr>
        <w:t>trepreneurial architecture and m</w:t>
      </w:r>
      <w:r w:rsidRPr="00A05DED">
        <w:rPr>
          <w:rFonts w:ascii="Times New Roman" w:eastAsia="Times New Roman" w:hAnsi="Times New Roman" w:cs="Times New Roman"/>
          <w:bCs/>
          <w:sz w:val="24"/>
          <w:szCs w:val="24"/>
        </w:rPr>
        <w:t>anaging the change process, aiming to present an integrated consultancy analysis and practical recommendations.</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1"/>
        <w:spacing w:before="0" w:line="480" w:lineRule="auto"/>
        <w:rPr>
          <w:rFonts w:eastAsia="Times New Roman" w:cs="Times New Roman"/>
          <w:szCs w:val="24"/>
        </w:rPr>
      </w:pPr>
      <w:bookmarkStart w:id="3" w:name="_Toc228760558"/>
      <w:r w:rsidRPr="00A05DED">
        <w:rPr>
          <w:rFonts w:eastAsia="Times New Roman" w:cs="Times New Roman"/>
          <w:szCs w:val="24"/>
        </w:rPr>
        <w:t>Entrepreneurial Architecture</w:t>
      </w:r>
      <w:bookmarkEnd w:id="3"/>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Entrepreneurial Architecture at Courts Guyana Inc. can be assessed as the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design that facilitates the occurrence of creativity, innovation, and entrepreneurship across roles and levels. The architecture becomes manifest in everyday work in the form of what employees believe it is expected of them, what they feel safe to say, how the leaders respond to ideas, and </w:t>
      </w:r>
      <w:r w:rsidRPr="00A05DED">
        <w:rPr>
          <w:rFonts w:ascii="Times New Roman" w:eastAsia="Times New Roman" w:hAnsi="Times New Roman" w:cs="Times New Roman"/>
          <w:bCs/>
          <w:sz w:val="24"/>
          <w:szCs w:val="24"/>
        </w:rPr>
        <w:lastRenderedPageBreak/>
        <w:t xml:space="preserve">how the </w:t>
      </w:r>
      <w:proofErr w:type="spellStart"/>
      <w:r w:rsidRPr="00A05DED">
        <w:rPr>
          <w:rFonts w:ascii="Times New Roman" w:eastAsia="Times New Roman" w:hAnsi="Times New Roman" w:cs="Times New Roman"/>
          <w:bCs/>
          <w:sz w:val="24"/>
          <w:szCs w:val="24"/>
        </w:rPr>
        <w:t>organisation</w:t>
      </w:r>
      <w:proofErr w:type="spellEnd"/>
      <w:r w:rsidRPr="00A05DED">
        <w:rPr>
          <w:rFonts w:ascii="Times New Roman" w:eastAsia="Times New Roman" w:hAnsi="Times New Roman" w:cs="Times New Roman"/>
          <w:bCs/>
          <w:sz w:val="24"/>
          <w:szCs w:val="24"/>
        </w:rPr>
        <w:t xml:space="preserve"> learns through customer experience. You et al. (2022) demonstrated that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innovative climate positively affects employee innovative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via psychological ownership, and task interdependence enhances this relationship. This shows that Courts cannot afford to rely solely on targets and structure in order that innovation becomes the order of the day, since innovative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develops when individuals feel accountable and linked to communal results. </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1"/>
        <w:spacing w:before="0" w:line="480" w:lineRule="auto"/>
        <w:rPr>
          <w:rFonts w:eastAsia="Times New Roman" w:cs="Times New Roman"/>
          <w:szCs w:val="24"/>
        </w:rPr>
      </w:pPr>
      <w:bookmarkStart w:id="4" w:name="_Toc228760559"/>
      <w:r w:rsidRPr="00A05DED">
        <w:rPr>
          <w:rFonts w:eastAsia="Times New Roman" w:cs="Times New Roman"/>
          <w:szCs w:val="24"/>
        </w:rPr>
        <w:t>Promoting Entrepreneurial Architecture</w:t>
      </w:r>
      <w:bookmarkEnd w:id="4"/>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Entrepreneurial Architecture can be encouraged when culture, climate, and leadership collaborate to facilitate ownership, learning, and implementation. Courts have been characterized as focusing on structure, targets, and traditional modes of operation, which may hinder flexibility and responsiveness, when innovation is not promoted at all levels. </w:t>
      </w:r>
      <w:proofErr w:type="spellStart"/>
      <w:r w:rsidRPr="00A05DED">
        <w:rPr>
          <w:rFonts w:ascii="Times New Roman" w:eastAsia="Times New Roman" w:hAnsi="Times New Roman" w:cs="Times New Roman"/>
          <w:bCs/>
          <w:sz w:val="24"/>
          <w:szCs w:val="24"/>
        </w:rPr>
        <w:t>Vrhovac</w:t>
      </w:r>
      <w:proofErr w:type="spellEnd"/>
      <w:r w:rsidRPr="00A05DED">
        <w:rPr>
          <w:rFonts w:ascii="Times New Roman" w:eastAsia="Times New Roman" w:hAnsi="Times New Roman" w:cs="Times New Roman"/>
          <w:bCs/>
          <w:sz w:val="24"/>
          <w:szCs w:val="24"/>
        </w:rPr>
        <w:t xml:space="preserve"> et al. (2023) argue that customer experience in the last-mile delivery can be assessed through validated dimensions of delivery efficiency and parcel tracking. This means that the Courts can strengthen their architecture by going beyond general assumptions and using structured evidence to determine where value can be gained or lost and then construct routines that transform evidence into improvement. Thus, Courts can foster Entrepreneurial Architecture using particular cultural, climatic, and leadership processes that are facilitated with the help of the chosen research. </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1"/>
        <w:spacing w:before="0" w:line="480" w:lineRule="auto"/>
        <w:rPr>
          <w:rFonts w:eastAsia="Times New Roman" w:cs="Times New Roman"/>
          <w:szCs w:val="24"/>
        </w:rPr>
      </w:pPr>
      <w:bookmarkStart w:id="5" w:name="_Toc228760560"/>
      <w:r w:rsidRPr="00A05DED">
        <w:rPr>
          <w:rFonts w:eastAsia="Times New Roman" w:cs="Times New Roman"/>
          <w:szCs w:val="24"/>
        </w:rPr>
        <w:t>Creative and Innovative Culture, Climate, and Leadership</w:t>
      </w:r>
      <w:bookmarkEnd w:id="5"/>
    </w:p>
    <w:p w:rsidR="00311263" w:rsidRPr="00A05DED" w:rsidRDefault="00311263" w:rsidP="00A05DED">
      <w:pPr>
        <w:pStyle w:val="Heading2"/>
        <w:spacing w:before="0" w:beforeAutospacing="0" w:after="0" w:afterAutospacing="0" w:line="480" w:lineRule="auto"/>
        <w:rPr>
          <w:szCs w:val="24"/>
        </w:rPr>
      </w:pPr>
      <w:bookmarkStart w:id="6" w:name="_Toc228760561"/>
      <w:r w:rsidRPr="00A05DED">
        <w:rPr>
          <w:szCs w:val="24"/>
        </w:rPr>
        <w:t xml:space="preserve">Innovation Climate and Employee Innovative </w:t>
      </w:r>
      <w:proofErr w:type="spellStart"/>
      <w:r w:rsidRPr="00A05DED">
        <w:rPr>
          <w:szCs w:val="24"/>
        </w:rPr>
        <w:t>Behaviour</w:t>
      </w:r>
      <w:bookmarkEnd w:id="6"/>
      <w:proofErr w:type="spellEnd"/>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When an innovation climate fosters entrepreneurial results, it does so by developing a sense of psychological ownership and shared responsibility for improvement. When employees </w:t>
      </w:r>
      <w:r w:rsidRPr="00A05DED">
        <w:rPr>
          <w:rFonts w:ascii="Times New Roman" w:eastAsia="Times New Roman" w:hAnsi="Times New Roman" w:cs="Times New Roman"/>
          <w:bCs/>
          <w:sz w:val="24"/>
          <w:szCs w:val="24"/>
        </w:rPr>
        <w:lastRenderedPageBreak/>
        <w:t xml:space="preserve">feel that the </w:t>
      </w:r>
      <w:proofErr w:type="spellStart"/>
      <w:r w:rsidRPr="00A05DED">
        <w:rPr>
          <w:rFonts w:ascii="Times New Roman" w:eastAsia="Times New Roman" w:hAnsi="Times New Roman" w:cs="Times New Roman"/>
          <w:bCs/>
          <w:sz w:val="24"/>
          <w:szCs w:val="24"/>
        </w:rPr>
        <w:t>organisation</w:t>
      </w:r>
      <w:proofErr w:type="spellEnd"/>
      <w:r w:rsidRPr="00A05DED">
        <w:rPr>
          <w:rFonts w:ascii="Times New Roman" w:eastAsia="Times New Roman" w:hAnsi="Times New Roman" w:cs="Times New Roman"/>
          <w:bCs/>
          <w:sz w:val="24"/>
          <w:szCs w:val="24"/>
        </w:rPr>
        <w:t xml:space="preserve"> is encouraging innovation, and when they feel that their work and their results are theirs as a group. You et al. (2022) state that psychological ownership mediates the relationship between innovation climate and innovative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and that task interdependence strengthens this relationship. This demonstrates that Courts can enhance innovation by fostering interdependence, as interdependence makes people more committed to shared processes rather than defending narrow scopes. Therefore, Courts must support an innovation climate by sharing goals, cross-functional collaboration and recognition that reinforces collective improvement. </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7" w:name="_Toc228760562"/>
      <w:r w:rsidRPr="00A05DED">
        <w:rPr>
          <w:szCs w:val="24"/>
        </w:rPr>
        <w:t>Psychosocial Safety Climate</w:t>
      </w:r>
      <w:bookmarkEnd w:id="7"/>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Psychosocial safety climate encourages creativity by influencing whether employees feel their workplace is psychologically healthy and supportive. Feeling secure against psychosocial hazards allows individuals to spend mental resources on creative thought instead of self-protection. </w:t>
      </w:r>
      <w:proofErr w:type="spellStart"/>
      <w:r w:rsidRPr="00A05DED">
        <w:rPr>
          <w:rFonts w:ascii="Times New Roman" w:eastAsia="Times New Roman" w:hAnsi="Times New Roman" w:cs="Times New Roman"/>
          <w:bCs/>
          <w:sz w:val="24"/>
          <w:szCs w:val="24"/>
        </w:rPr>
        <w:t>Zadow</w:t>
      </w:r>
      <w:proofErr w:type="spellEnd"/>
      <w:r w:rsidRPr="00A05DED">
        <w:rPr>
          <w:rFonts w:ascii="Times New Roman" w:eastAsia="Times New Roman" w:hAnsi="Times New Roman" w:cs="Times New Roman"/>
          <w:bCs/>
          <w:sz w:val="24"/>
          <w:szCs w:val="24"/>
        </w:rPr>
        <w:t xml:space="preserve"> et al. (2023) argue that psychosocial safety climate forecasts future work performance and both radical and incremental creativity, and work engagement mediates these relationships. This proves that Courts can enhance creativity by enhancing the climate that fosters engagement, since engagement transforms climate support into creative output. In addition, psychological safety enhances entrepreneurial capacity since it promotes speaking up, learning through mistakes and raising concerns early, which are vital </w:t>
      </w:r>
      <w:proofErr w:type="spellStart"/>
      <w:r w:rsidRPr="00A05DED">
        <w:rPr>
          <w:rFonts w:ascii="Times New Roman" w:eastAsia="Times New Roman" w:hAnsi="Times New Roman" w:cs="Times New Roman"/>
          <w:bCs/>
          <w:sz w:val="24"/>
          <w:szCs w:val="24"/>
        </w:rPr>
        <w:t>behaviours</w:t>
      </w:r>
      <w:proofErr w:type="spellEnd"/>
      <w:r w:rsidRPr="00A05DED">
        <w:rPr>
          <w:rFonts w:ascii="Times New Roman" w:eastAsia="Times New Roman" w:hAnsi="Times New Roman" w:cs="Times New Roman"/>
          <w:bCs/>
          <w:sz w:val="24"/>
          <w:szCs w:val="24"/>
        </w:rPr>
        <w:t xml:space="preserve"> in </w:t>
      </w:r>
      <w:proofErr w:type="spellStart"/>
      <w:r w:rsidRPr="00A05DED">
        <w:rPr>
          <w:rFonts w:ascii="Times New Roman" w:eastAsia="Times New Roman" w:hAnsi="Times New Roman" w:cs="Times New Roman"/>
          <w:bCs/>
          <w:sz w:val="24"/>
          <w:szCs w:val="24"/>
        </w:rPr>
        <w:t>organisations</w:t>
      </w:r>
      <w:proofErr w:type="spellEnd"/>
      <w:r w:rsidRPr="00A05DED">
        <w:rPr>
          <w:rFonts w:ascii="Times New Roman" w:eastAsia="Times New Roman" w:hAnsi="Times New Roman" w:cs="Times New Roman"/>
          <w:bCs/>
          <w:sz w:val="24"/>
          <w:szCs w:val="24"/>
        </w:rPr>
        <w:t xml:space="preserve"> that seek to innovate. The absence of psychological safety in a climate may result in silence, latent escalation, and risk avoidance that constrain innovation and undermine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learning. </w:t>
      </w:r>
      <w:proofErr w:type="spellStart"/>
      <w:r w:rsidRPr="00A05DED">
        <w:rPr>
          <w:rFonts w:ascii="Times New Roman" w:eastAsia="Times New Roman" w:hAnsi="Times New Roman" w:cs="Times New Roman"/>
          <w:bCs/>
          <w:sz w:val="24"/>
          <w:szCs w:val="24"/>
        </w:rPr>
        <w:t>Bahadurzada</w:t>
      </w:r>
      <w:proofErr w:type="spellEnd"/>
      <w:r w:rsidRPr="00A05DED">
        <w:rPr>
          <w:rFonts w:ascii="Times New Roman" w:eastAsia="Times New Roman" w:hAnsi="Times New Roman" w:cs="Times New Roman"/>
          <w:bCs/>
          <w:sz w:val="24"/>
          <w:szCs w:val="24"/>
        </w:rPr>
        <w:t xml:space="preserve"> et al. (2024) discovered that psychological safety was a long-lasting protective resource within a large health system in the United States, predicting lower burnout and greater intent to stay, and mitigating the adverse impact of resource constraints. This </w:t>
      </w:r>
      <w:r w:rsidRPr="00A05DED">
        <w:rPr>
          <w:rFonts w:ascii="Times New Roman" w:eastAsia="Times New Roman" w:hAnsi="Times New Roman" w:cs="Times New Roman"/>
          <w:bCs/>
          <w:sz w:val="24"/>
          <w:szCs w:val="24"/>
        </w:rPr>
        <w:lastRenderedPageBreak/>
        <w:t xml:space="preserve">demonstrates that psychological safety safeguards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stability and retention, meaning that Courts can protect innovation capacity by creating an environment where employees are willing to work despite increasing pressure. Thus, psychological safety must be reinforced as a key component of Entrepreneurial Architecture since resilience is a component of enduring innovation.</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8" w:name="_Toc228760563"/>
      <w:r w:rsidRPr="00A05DED">
        <w:rPr>
          <w:szCs w:val="24"/>
        </w:rPr>
        <w:t>Psychological Safety Practices</w:t>
      </w:r>
      <w:bookmarkEnd w:id="8"/>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Psychological safety is not spontaneous, since psychological safety is developed by the teams during recurrent interactions and responses of the leadership to the prevailing conditions. Managers of courts require pragmatic practices that </w:t>
      </w:r>
      <w:proofErr w:type="spellStart"/>
      <w:r w:rsidRPr="00A05DED">
        <w:rPr>
          <w:rFonts w:ascii="Times New Roman" w:eastAsia="Times New Roman" w:hAnsi="Times New Roman" w:cs="Times New Roman"/>
          <w:bCs/>
          <w:sz w:val="24"/>
          <w:szCs w:val="24"/>
        </w:rPr>
        <w:t>normalise</w:t>
      </w:r>
      <w:proofErr w:type="spellEnd"/>
      <w:r w:rsidRPr="00A05DED">
        <w:rPr>
          <w:rFonts w:ascii="Times New Roman" w:eastAsia="Times New Roman" w:hAnsi="Times New Roman" w:cs="Times New Roman"/>
          <w:bCs/>
          <w:sz w:val="24"/>
          <w:szCs w:val="24"/>
        </w:rPr>
        <w:t xml:space="preserve"> learning, respectful challenge, and help-seeking, so that employees are expected to contribute ideas for improvement. Jones et al. (2024) defined psychological safety as an emergent group property that must be actively stewarded by norm establishment, risk taking, help seeking, valuing unique skills, managing mistakes, and constructively addressing rejection. This implies that the Courts ought to train leaders to respond to mistakes with learning behaviors rather than blame, since blame diminishes voice and increases concealment.</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9" w:name="_Toc228760564"/>
      <w:r w:rsidRPr="00A05DED">
        <w:rPr>
          <w:szCs w:val="24"/>
        </w:rPr>
        <w:t>Leadership and Collective Creativity and Innovation</w:t>
      </w:r>
      <w:bookmarkEnd w:id="9"/>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Leadership influences whether innovation becomes collective and sustained because leaders shape motivation, resourcing, and norms for participation. Once leaders indicate that they appreciate ideas and will support experimentation, employees will be more inclined to contribute and to learn through experiences. According to Huang et al. (2022), transformational leadership was most useful in the context of creativity in research and development settings and emphasized </w:t>
      </w:r>
      <w:r w:rsidRPr="00A05DED">
        <w:rPr>
          <w:rFonts w:ascii="Times New Roman" w:eastAsia="Times New Roman" w:hAnsi="Times New Roman" w:cs="Times New Roman"/>
          <w:bCs/>
          <w:sz w:val="24"/>
          <w:szCs w:val="24"/>
        </w:rPr>
        <w:lastRenderedPageBreak/>
        <w:t xml:space="preserve">the practical link between leadership and innovation adoption. This demonstrates that leaders in Courts must outgrow control-heavy routines and embrace enabling </w:t>
      </w:r>
      <w:proofErr w:type="spellStart"/>
      <w:r w:rsidRPr="00A05DED">
        <w:rPr>
          <w:rFonts w:ascii="Times New Roman" w:eastAsia="Times New Roman" w:hAnsi="Times New Roman" w:cs="Times New Roman"/>
          <w:bCs/>
          <w:sz w:val="24"/>
          <w:szCs w:val="24"/>
        </w:rPr>
        <w:t>behaviours</w:t>
      </w:r>
      <w:proofErr w:type="spellEnd"/>
      <w:r w:rsidRPr="00A05DED">
        <w:rPr>
          <w:rFonts w:ascii="Times New Roman" w:eastAsia="Times New Roman" w:hAnsi="Times New Roman" w:cs="Times New Roman"/>
          <w:bCs/>
          <w:sz w:val="24"/>
          <w:szCs w:val="24"/>
        </w:rPr>
        <w:t xml:space="preserve"> that welcome contribution and support learning, because collective creativity relies on enabling </w:t>
      </w:r>
      <w:proofErr w:type="spellStart"/>
      <w:r w:rsidRPr="00A05DED">
        <w:rPr>
          <w:rFonts w:ascii="Times New Roman" w:eastAsia="Times New Roman" w:hAnsi="Times New Roman" w:cs="Times New Roman"/>
          <w:bCs/>
          <w:sz w:val="24"/>
          <w:szCs w:val="24"/>
        </w:rPr>
        <w:t>behaviours</w:t>
      </w:r>
      <w:proofErr w:type="spellEnd"/>
      <w:r w:rsidRPr="00A05DED">
        <w:rPr>
          <w:rFonts w:ascii="Times New Roman" w:eastAsia="Times New Roman" w:hAnsi="Times New Roman" w:cs="Times New Roman"/>
          <w:bCs/>
          <w:sz w:val="24"/>
          <w:szCs w:val="24"/>
        </w:rPr>
        <w:t xml:space="preserve">, relies on empowerment, and relies on purpose. Thus, leadership development in Courts must aim at </w:t>
      </w:r>
      <w:proofErr w:type="spellStart"/>
      <w:r w:rsidRPr="00A05DED">
        <w:rPr>
          <w:rFonts w:ascii="Times New Roman" w:eastAsia="Times New Roman" w:hAnsi="Times New Roman" w:cs="Times New Roman"/>
          <w:bCs/>
          <w:sz w:val="24"/>
          <w:szCs w:val="24"/>
        </w:rPr>
        <w:t>behaviours</w:t>
      </w:r>
      <w:proofErr w:type="spellEnd"/>
      <w:r w:rsidRPr="00A05DED">
        <w:rPr>
          <w:rFonts w:ascii="Times New Roman" w:eastAsia="Times New Roman" w:hAnsi="Times New Roman" w:cs="Times New Roman"/>
          <w:bCs/>
          <w:sz w:val="24"/>
          <w:szCs w:val="24"/>
        </w:rPr>
        <w:t xml:space="preserve"> that </w:t>
      </w:r>
      <w:proofErr w:type="spellStart"/>
      <w:r w:rsidRPr="00A05DED">
        <w:rPr>
          <w:rFonts w:ascii="Times New Roman" w:eastAsia="Times New Roman" w:hAnsi="Times New Roman" w:cs="Times New Roman"/>
          <w:bCs/>
          <w:sz w:val="24"/>
          <w:szCs w:val="24"/>
        </w:rPr>
        <w:t>legitimise</w:t>
      </w:r>
      <w:proofErr w:type="spellEnd"/>
      <w:r w:rsidRPr="00A05DED">
        <w:rPr>
          <w:rFonts w:ascii="Times New Roman" w:eastAsia="Times New Roman" w:hAnsi="Times New Roman" w:cs="Times New Roman"/>
          <w:bCs/>
          <w:sz w:val="24"/>
          <w:szCs w:val="24"/>
        </w:rPr>
        <w:t xml:space="preserve"> innovation as being part of normal work and that enable cross-functional cooperation.</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10" w:name="_Toc228760565"/>
      <w:r w:rsidRPr="00A05DED">
        <w:rPr>
          <w:szCs w:val="24"/>
        </w:rPr>
        <w:t>Last Mile Delivery Quality and Customer Experience</w:t>
      </w:r>
      <w:bookmarkEnd w:id="10"/>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Entrepreneurial Architecture ought to be assessed in terms of whether it creates customer value since entrepreneurship must translate into customer-perceivable outcomes. The last service fulfilment phase can influence loyalty even when other segments of the customer journey are satisfactory. According to </w:t>
      </w:r>
      <w:proofErr w:type="spellStart"/>
      <w:r w:rsidRPr="00A05DED">
        <w:rPr>
          <w:rFonts w:ascii="Times New Roman" w:eastAsia="Times New Roman" w:hAnsi="Times New Roman" w:cs="Times New Roman"/>
          <w:bCs/>
          <w:sz w:val="24"/>
          <w:szCs w:val="24"/>
        </w:rPr>
        <w:t>Aljohani</w:t>
      </w:r>
      <w:proofErr w:type="spellEnd"/>
      <w:r w:rsidRPr="00A05DED">
        <w:rPr>
          <w:rFonts w:ascii="Times New Roman" w:eastAsia="Times New Roman" w:hAnsi="Times New Roman" w:cs="Times New Roman"/>
          <w:bCs/>
          <w:sz w:val="24"/>
          <w:szCs w:val="24"/>
        </w:rPr>
        <w:t xml:space="preserve"> (2024), the quality of last-mile delivery will affect customer satisfaction and subsequent buying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and unhappy customers normally switch retailers without their knowledge. This shows that customer experience may not be a significant operational problem, but rather a strategic indicator of innovation in service provision. Moreover, measurement enhances Entrepreneurial Architecture by facilitating evidence-based diagnosis, shared learning, and accountability. Measurement can minimize internal conflict regarding what is not working and what needs to be enhanced, which helps to coordinate innovation. </w:t>
      </w:r>
      <w:proofErr w:type="spellStart"/>
      <w:r w:rsidRPr="00A05DED">
        <w:rPr>
          <w:rFonts w:ascii="Times New Roman" w:eastAsia="Times New Roman" w:hAnsi="Times New Roman" w:cs="Times New Roman"/>
          <w:bCs/>
          <w:sz w:val="24"/>
          <w:szCs w:val="24"/>
        </w:rPr>
        <w:t>Vrhovac</w:t>
      </w:r>
      <w:proofErr w:type="spellEnd"/>
      <w:r w:rsidRPr="00A05DED">
        <w:rPr>
          <w:rFonts w:ascii="Times New Roman" w:eastAsia="Times New Roman" w:hAnsi="Times New Roman" w:cs="Times New Roman"/>
          <w:bCs/>
          <w:sz w:val="24"/>
          <w:szCs w:val="24"/>
        </w:rPr>
        <w:t xml:space="preserve"> et al. (2023) designed and tested a delivery experience scale that incorporates delivery efficiency and parcel tracking as major dimensions of customer experience. This implies that the Courts are able to employ structured indicators to detect weak points, track improvement, and focus on innovations that will safeguard customer satisfaction. Thus, the measurement must be integrated into routine management cycles to inform innovation decisions </w:t>
      </w:r>
      <w:r w:rsidRPr="00A05DED">
        <w:rPr>
          <w:rFonts w:ascii="Times New Roman" w:eastAsia="Times New Roman" w:hAnsi="Times New Roman" w:cs="Times New Roman"/>
          <w:bCs/>
          <w:sz w:val="24"/>
          <w:szCs w:val="24"/>
        </w:rPr>
        <w:lastRenderedPageBreak/>
        <w:t>based on evidence about customer experience and to serve as a means of continuous improvement.</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11" w:name="_Toc228760566"/>
      <w:r w:rsidRPr="00A05DED">
        <w:rPr>
          <w:szCs w:val="24"/>
        </w:rPr>
        <w:t>Judgement and Key Implications</w:t>
      </w:r>
      <w:bookmarkEnd w:id="11"/>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Courts Guyana Inc. can enhance how it fosters creativity, innovation, and entrepreneurship by improving the internal environment that helps employees bring ideas and take initiative. The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insight you have described indicates that innovation is not heavily promoted at all levels and that the company is focused on structure, targets, and traditional ways, which can inhibit flexibility and reduce speaking up. Work that involves interdependence between roles can foster an innovative climate, influencing innovative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when employees feel a psychological sense of ownership and shared responsibility (You et al., 2022). This demonstrates that Courts must structure work and objectives in a way that individuals feel responsible to enhance collectively rather than individually. The significance of psychological safety is also evident since individuals are more likely to express concerns, exchange ideas and learn through mistakes if they do not fear negative outcomes (</w:t>
      </w:r>
      <w:proofErr w:type="spellStart"/>
      <w:r w:rsidRPr="00A05DED">
        <w:rPr>
          <w:rFonts w:ascii="Times New Roman" w:eastAsia="Times New Roman" w:hAnsi="Times New Roman" w:cs="Times New Roman"/>
          <w:bCs/>
          <w:sz w:val="24"/>
          <w:szCs w:val="24"/>
        </w:rPr>
        <w:t>Bahadurzada</w:t>
      </w:r>
      <w:proofErr w:type="spellEnd"/>
      <w:r w:rsidRPr="00A05DED">
        <w:rPr>
          <w:rFonts w:ascii="Times New Roman" w:eastAsia="Times New Roman" w:hAnsi="Times New Roman" w:cs="Times New Roman"/>
          <w:bCs/>
          <w:sz w:val="24"/>
          <w:szCs w:val="24"/>
        </w:rPr>
        <w:t xml:space="preserve"> et al., 2024). This implies that Manager </w:t>
      </w:r>
      <w:proofErr w:type="gramStart"/>
      <w:r w:rsidRPr="00A05DED">
        <w:rPr>
          <w:rFonts w:ascii="Times New Roman" w:eastAsia="Times New Roman" w:hAnsi="Times New Roman" w:cs="Times New Roman"/>
          <w:bCs/>
          <w:sz w:val="24"/>
          <w:szCs w:val="24"/>
        </w:rPr>
        <w:t>routines</w:t>
      </w:r>
      <w:proofErr w:type="gramEnd"/>
      <w:r w:rsidRPr="00A05DED">
        <w:rPr>
          <w:rFonts w:ascii="Times New Roman" w:eastAsia="Times New Roman" w:hAnsi="Times New Roman" w:cs="Times New Roman"/>
          <w:bCs/>
          <w:sz w:val="24"/>
          <w:szCs w:val="24"/>
        </w:rPr>
        <w:t xml:space="preserve"> that promote safe voice and learning should be reinforced by Courts to ensure that innovation can be incorporated into normal work. Thus, the key limitations to overcome are poor signals that innovation is on the way, routines that make customer and performance signals work around the clock, and the key strengths to develop are clearer leadership support of innovation and routines that transform customer and performance signals into continuous improvement.</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1"/>
        <w:spacing w:before="0" w:line="480" w:lineRule="auto"/>
        <w:rPr>
          <w:rFonts w:eastAsia="Times New Roman" w:cs="Times New Roman"/>
          <w:szCs w:val="24"/>
        </w:rPr>
      </w:pPr>
      <w:bookmarkStart w:id="12" w:name="_Toc228760567"/>
      <w:r w:rsidRPr="00A05DED">
        <w:rPr>
          <w:rFonts w:eastAsia="Times New Roman" w:cs="Times New Roman"/>
          <w:szCs w:val="24"/>
        </w:rPr>
        <w:lastRenderedPageBreak/>
        <w:t>Managing the Change Process</w:t>
      </w:r>
      <w:bookmarkEnd w:id="12"/>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Courts Guyana Inc. can implement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change effectively only when change is managed as a structured process that turns new intentions into stable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practice. Stable practice relies on acceptance and engagement, coordination, and ongoing role-based learning. Courts have to deal with both the technical and human aspects of change, since people judge it based on its usefulness and the difficulty of the change. Thus, Courts Guyana Inc. can address the change process with Kaleidoscope and </w:t>
      </w:r>
      <w:proofErr w:type="spellStart"/>
      <w:r w:rsidRPr="00A05DED">
        <w:rPr>
          <w:rFonts w:ascii="Times New Roman" w:eastAsia="Times New Roman" w:hAnsi="Times New Roman" w:cs="Times New Roman"/>
          <w:bCs/>
          <w:sz w:val="24"/>
          <w:szCs w:val="24"/>
        </w:rPr>
        <w:t>Jabri</w:t>
      </w:r>
      <w:proofErr w:type="spellEnd"/>
      <w:r w:rsidRPr="00A05DED">
        <w:rPr>
          <w:rFonts w:ascii="Times New Roman" w:eastAsia="Times New Roman" w:hAnsi="Times New Roman" w:cs="Times New Roman"/>
          <w:bCs/>
          <w:sz w:val="24"/>
          <w:szCs w:val="24"/>
        </w:rPr>
        <w:t xml:space="preserve"> and clarify implications and managerial actions that stabilize change.</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1"/>
        <w:spacing w:before="0" w:line="480" w:lineRule="auto"/>
        <w:rPr>
          <w:rFonts w:eastAsia="Times New Roman" w:cs="Times New Roman"/>
          <w:szCs w:val="24"/>
        </w:rPr>
      </w:pPr>
      <w:bookmarkStart w:id="13" w:name="_Toc228760568"/>
      <w:r w:rsidRPr="00A05DED">
        <w:rPr>
          <w:rFonts w:eastAsia="Times New Roman" w:cs="Times New Roman"/>
          <w:szCs w:val="24"/>
        </w:rPr>
        <w:t>Kaleidoscope</w:t>
      </w:r>
      <w:bookmarkEnd w:id="13"/>
    </w:p>
    <w:p w:rsidR="00311263" w:rsidRPr="00A05DED" w:rsidRDefault="00311263" w:rsidP="00A05DED">
      <w:pPr>
        <w:pStyle w:val="Heading2"/>
        <w:spacing w:before="0" w:beforeAutospacing="0" w:after="0" w:afterAutospacing="0" w:line="480" w:lineRule="auto"/>
        <w:rPr>
          <w:szCs w:val="24"/>
        </w:rPr>
      </w:pPr>
      <w:bookmarkStart w:id="14" w:name="_Toc228760569"/>
      <w:r w:rsidRPr="00A05DED">
        <w:rPr>
          <w:szCs w:val="24"/>
        </w:rPr>
        <w:t>Acceptance and Engagement</w:t>
      </w:r>
      <w:bookmarkEnd w:id="14"/>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Acceptance and readiness are decisive since individuals will not adapt new routines in a uniform manner unless they perceive value and feel encouraged. Preparedness is undermined by complex change and by the feeling of safety of old habits compared to new practices. </w:t>
      </w:r>
      <w:proofErr w:type="spellStart"/>
      <w:r w:rsidRPr="00A05DED">
        <w:rPr>
          <w:rFonts w:ascii="Times New Roman" w:eastAsia="Times New Roman" w:hAnsi="Times New Roman" w:cs="Times New Roman"/>
          <w:bCs/>
          <w:sz w:val="24"/>
          <w:szCs w:val="24"/>
        </w:rPr>
        <w:t>Mutambik</w:t>
      </w:r>
      <w:proofErr w:type="spellEnd"/>
      <w:r w:rsidRPr="00A05DED">
        <w:rPr>
          <w:rFonts w:ascii="Times New Roman" w:eastAsia="Times New Roman" w:hAnsi="Times New Roman" w:cs="Times New Roman"/>
          <w:bCs/>
          <w:sz w:val="24"/>
          <w:szCs w:val="24"/>
        </w:rPr>
        <w:t xml:space="preserve"> and </w:t>
      </w:r>
      <w:proofErr w:type="spellStart"/>
      <w:r w:rsidRPr="00A05DED">
        <w:rPr>
          <w:rFonts w:ascii="Times New Roman" w:eastAsia="Times New Roman" w:hAnsi="Times New Roman" w:cs="Times New Roman"/>
          <w:bCs/>
          <w:sz w:val="24"/>
          <w:szCs w:val="24"/>
        </w:rPr>
        <w:t>Almuqrin</w:t>
      </w:r>
      <w:proofErr w:type="spellEnd"/>
      <w:r w:rsidRPr="00A05DED">
        <w:rPr>
          <w:rFonts w:ascii="Times New Roman" w:eastAsia="Times New Roman" w:hAnsi="Times New Roman" w:cs="Times New Roman"/>
          <w:bCs/>
          <w:sz w:val="24"/>
          <w:szCs w:val="24"/>
        </w:rPr>
        <w:t xml:space="preserve"> (2024) discovered that acceptance is higher with perceived advantages and management support, and lower with process complexity and resistance. This means that Courts must make changes to benefits present in role-specific language and must minimize complexity with simple steps that fit in day-to-day work. Moreover, participation is important since acceptance without action is likely to result in little or no improvement in the long run. Increased engagement is achieved when the employees feel the resources in their respective jobs, but not just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announcements. Albrecht et al. (2022) demonstrated that job level resources like information, involvement, and learning drive the most change engagement and are mediated by broader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resources. This indicates that Courts should transfer leadership purpose </w:t>
      </w:r>
      <w:r w:rsidRPr="00A05DED">
        <w:rPr>
          <w:rFonts w:ascii="Times New Roman" w:eastAsia="Times New Roman" w:hAnsi="Times New Roman" w:cs="Times New Roman"/>
          <w:bCs/>
          <w:sz w:val="24"/>
          <w:szCs w:val="24"/>
        </w:rPr>
        <w:lastRenderedPageBreak/>
        <w:t>into daily work supports in case it anticipates individuals to dedicate their energies and adhere to new routines. Thus, Courts must develop engagement by providing coherent information, purposeful engagement and formal learning activities at the work level.</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15" w:name="_Toc228760570"/>
      <w:r w:rsidRPr="00A05DED">
        <w:rPr>
          <w:szCs w:val="24"/>
        </w:rPr>
        <w:t>Stress and Middle Manager Capability</w:t>
      </w:r>
      <w:bookmarkEnd w:id="15"/>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Stress is a sustainability risk since high levels of stress lower the ability to learn, and it enhances avoidance, which may weaken long-term adoption. Even in cases where the skills are high but implementation gives rise to uncertainties and time pressure, stress levels may increase. </w:t>
      </w:r>
      <w:proofErr w:type="spellStart"/>
      <w:r w:rsidRPr="00A05DED">
        <w:rPr>
          <w:rFonts w:ascii="Times New Roman" w:eastAsia="Times New Roman" w:hAnsi="Times New Roman" w:cs="Times New Roman"/>
          <w:bCs/>
          <w:sz w:val="24"/>
          <w:szCs w:val="24"/>
        </w:rPr>
        <w:t>Makowska</w:t>
      </w:r>
      <w:proofErr w:type="spellEnd"/>
      <w:r w:rsidRPr="00A05DED">
        <w:rPr>
          <w:rFonts w:ascii="Times New Roman" w:eastAsia="Times New Roman" w:hAnsi="Times New Roman" w:cs="Times New Roman"/>
          <w:bCs/>
          <w:sz w:val="24"/>
          <w:szCs w:val="24"/>
        </w:rPr>
        <w:t xml:space="preserve"> </w:t>
      </w:r>
      <w:proofErr w:type="spellStart"/>
      <w:r w:rsidRPr="00A05DED">
        <w:rPr>
          <w:rFonts w:ascii="Times New Roman" w:eastAsia="Times New Roman" w:hAnsi="Times New Roman" w:cs="Times New Roman"/>
          <w:bCs/>
          <w:sz w:val="24"/>
          <w:szCs w:val="24"/>
        </w:rPr>
        <w:t>Tłomak</w:t>
      </w:r>
      <w:proofErr w:type="spellEnd"/>
      <w:r w:rsidRPr="00A05DED">
        <w:rPr>
          <w:rFonts w:ascii="Times New Roman" w:eastAsia="Times New Roman" w:hAnsi="Times New Roman" w:cs="Times New Roman"/>
          <w:bCs/>
          <w:sz w:val="24"/>
          <w:szCs w:val="24"/>
        </w:rPr>
        <w:t xml:space="preserve"> et al. (2023) demonstrated that the stress of digital transformation is not merely the result of the lack of skills but the outcome of the manner in which digital change is implemented and managed, including uncertainty and time pressure. This shows that Courts cannot simply view stress as resistance since stress can be an implementation problem that needs to be planned better. Moreover, middle managers are essential as they relate strategic direction to daily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and employees tend to be guided by the signals they give rather than by a formal policy. Capability in this role is strongly people-oriented because trust and stability shape how teams respond during change. </w:t>
      </w:r>
      <w:proofErr w:type="spellStart"/>
      <w:r w:rsidRPr="00A05DED">
        <w:rPr>
          <w:rFonts w:ascii="Times New Roman" w:eastAsia="Times New Roman" w:hAnsi="Times New Roman" w:cs="Times New Roman"/>
          <w:bCs/>
          <w:sz w:val="24"/>
          <w:szCs w:val="24"/>
        </w:rPr>
        <w:t>Henderikx</w:t>
      </w:r>
      <w:proofErr w:type="spellEnd"/>
      <w:r w:rsidRPr="00A05DED">
        <w:rPr>
          <w:rFonts w:ascii="Times New Roman" w:eastAsia="Times New Roman" w:hAnsi="Times New Roman" w:cs="Times New Roman"/>
          <w:bCs/>
          <w:sz w:val="24"/>
          <w:szCs w:val="24"/>
        </w:rPr>
        <w:t xml:space="preserve"> and </w:t>
      </w:r>
      <w:proofErr w:type="spellStart"/>
      <w:r w:rsidRPr="00A05DED">
        <w:rPr>
          <w:rFonts w:ascii="Times New Roman" w:eastAsia="Times New Roman" w:hAnsi="Times New Roman" w:cs="Times New Roman"/>
          <w:bCs/>
          <w:sz w:val="24"/>
          <w:szCs w:val="24"/>
        </w:rPr>
        <w:t>Stoffers</w:t>
      </w:r>
      <w:proofErr w:type="spellEnd"/>
      <w:r w:rsidRPr="00A05DED">
        <w:rPr>
          <w:rFonts w:ascii="Times New Roman" w:eastAsia="Times New Roman" w:hAnsi="Times New Roman" w:cs="Times New Roman"/>
          <w:bCs/>
          <w:sz w:val="24"/>
          <w:szCs w:val="24"/>
        </w:rPr>
        <w:t xml:space="preserve"> (2023) discovered that the middle managers rated soft skills like integrity, trust, and empowering others as more important than technical digital skills during transformation. This implies that Courts ought to enhance the middle manager competence in the communication, fairness and support because such </w:t>
      </w:r>
      <w:proofErr w:type="spellStart"/>
      <w:r w:rsidRPr="00A05DED">
        <w:rPr>
          <w:rFonts w:ascii="Times New Roman" w:eastAsia="Times New Roman" w:hAnsi="Times New Roman" w:cs="Times New Roman"/>
          <w:bCs/>
          <w:sz w:val="24"/>
          <w:szCs w:val="24"/>
        </w:rPr>
        <w:t>behaviours</w:t>
      </w:r>
      <w:proofErr w:type="spellEnd"/>
      <w:r w:rsidRPr="00A05DED">
        <w:rPr>
          <w:rFonts w:ascii="Times New Roman" w:eastAsia="Times New Roman" w:hAnsi="Times New Roman" w:cs="Times New Roman"/>
          <w:bCs/>
          <w:sz w:val="24"/>
          <w:szCs w:val="24"/>
        </w:rPr>
        <w:t xml:space="preserve"> </w:t>
      </w:r>
      <w:proofErr w:type="spellStart"/>
      <w:r w:rsidRPr="00A05DED">
        <w:rPr>
          <w:rFonts w:ascii="Times New Roman" w:eastAsia="Times New Roman" w:hAnsi="Times New Roman" w:cs="Times New Roman"/>
          <w:bCs/>
          <w:sz w:val="24"/>
          <w:szCs w:val="24"/>
        </w:rPr>
        <w:t>stabilise</w:t>
      </w:r>
      <w:proofErr w:type="spellEnd"/>
      <w:r w:rsidRPr="00A05DED">
        <w:rPr>
          <w:rFonts w:ascii="Times New Roman" w:eastAsia="Times New Roman" w:hAnsi="Times New Roman" w:cs="Times New Roman"/>
          <w:bCs/>
          <w:sz w:val="24"/>
          <w:szCs w:val="24"/>
        </w:rPr>
        <w:t xml:space="preserve"> teams and reduce fear. Thus, the development of middle managers should be seen as change leaders who can foster trust, direct learning, and enhance consistent practice.</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16" w:name="_Toc228760571"/>
      <w:r w:rsidRPr="00A05DED">
        <w:rPr>
          <w:szCs w:val="24"/>
        </w:rPr>
        <w:t>Coordination, Feedback Loops, and Psychological Safety</w:t>
      </w:r>
      <w:bookmarkEnd w:id="16"/>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lastRenderedPageBreak/>
        <w:t xml:space="preserve">Coordination suffers as departments construct change in differing ways, and decisions are made without circulating feedback loops. Overload of information may still leave </w:t>
      </w:r>
      <w:proofErr w:type="spellStart"/>
      <w:r w:rsidRPr="00A05DED">
        <w:rPr>
          <w:rFonts w:ascii="Times New Roman" w:eastAsia="Times New Roman" w:hAnsi="Times New Roman" w:cs="Times New Roman"/>
          <w:bCs/>
          <w:sz w:val="24"/>
          <w:szCs w:val="24"/>
        </w:rPr>
        <w:t>organisations</w:t>
      </w:r>
      <w:proofErr w:type="spellEnd"/>
      <w:r w:rsidRPr="00A05DED">
        <w:rPr>
          <w:rFonts w:ascii="Times New Roman" w:eastAsia="Times New Roman" w:hAnsi="Times New Roman" w:cs="Times New Roman"/>
          <w:bCs/>
          <w:sz w:val="24"/>
          <w:szCs w:val="24"/>
        </w:rPr>
        <w:t xml:space="preserve"> without a clear understanding of the consequences, which results in inconsistent action. According to Cunningham et al. (2023), operational disconnect is caused by asymmetric information, fragmented decision-making, habitual differences in communication styles, and a lack of common feedback loops. This demonstrates that Courts need to enhance coordination with shared meaning and shared feedback loops so that departments become a single system. Moreover, psychological safety facilitates change since individuals will voice their concerns regarding issues and seek assistance when they are not fearful of adverse outcomes. The enhanced communication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enhances innovation, resulting in change since implementation relies on information sharing and cooperation. </w:t>
      </w:r>
      <w:proofErr w:type="spellStart"/>
      <w:r w:rsidRPr="00A05DED">
        <w:rPr>
          <w:rFonts w:ascii="Times New Roman" w:eastAsia="Times New Roman" w:hAnsi="Times New Roman" w:cs="Times New Roman"/>
          <w:bCs/>
          <w:sz w:val="24"/>
          <w:szCs w:val="24"/>
        </w:rPr>
        <w:t>Jin</w:t>
      </w:r>
      <w:proofErr w:type="spellEnd"/>
      <w:r w:rsidRPr="00A05DED">
        <w:rPr>
          <w:rFonts w:ascii="Times New Roman" w:eastAsia="Times New Roman" w:hAnsi="Times New Roman" w:cs="Times New Roman"/>
          <w:bCs/>
          <w:sz w:val="24"/>
          <w:szCs w:val="24"/>
        </w:rPr>
        <w:t xml:space="preserve"> and Peng (2024) discovered that psychological safety facilitates innovative performance in terms of communication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such as information sharing and balanced give and take within teams. This means that Courts should develop routines that </w:t>
      </w:r>
      <w:proofErr w:type="spellStart"/>
      <w:r w:rsidRPr="00A05DED">
        <w:rPr>
          <w:rFonts w:ascii="Times New Roman" w:eastAsia="Times New Roman" w:hAnsi="Times New Roman" w:cs="Times New Roman"/>
          <w:bCs/>
          <w:sz w:val="24"/>
          <w:szCs w:val="24"/>
        </w:rPr>
        <w:t>normalise</w:t>
      </w:r>
      <w:proofErr w:type="spellEnd"/>
      <w:r w:rsidRPr="00A05DED">
        <w:rPr>
          <w:rFonts w:ascii="Times New Roman" w:eastAsia="Times New Roman" w:hAnsi="Times New Roman" w:cs="Times New Roman"/>
          <w:bCs/>
          <w:sz w:val="24"/>
          <w:szCs w:val="24"/>
        </w:rPr>
        <w:t xml:space="preserve"> respectful questions, early escalation, and shared problem-solving, particularly during transition periods. Thus, the psychological safety is supposed to be backed as a pragmatic state that enhances communication and the quality of implementation.</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17" w:name="_Toc228760572"/>
      <w:r w:rsidRPr="00A05DED">
        <w:rPr>
          <w:szCs w:val="24"/>
        </w:rPr>
        <w:t>Coaching and Co-Creation of Routines</w:t>
      </w:r>
      <w:bookmarkEnd w:id="17"/>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Coaching aids change in that it assists people to handle uncertainty and reinforces the beliefs and self-management required to continue with new routines. The perception of change often responds more strongly to the perception of change than to the formal content of change, and therefore, support should address meaning and confidence. </w:t>
      </w:r>
      <w:proofErr w:type="spellStart"/>
      <w:r w:rsidRPr="00A05DED">
        <w:rPr>
          <w:rFonts w:ascii="Times New Roman" w:eastAsia="Times New Roman" w:hAnsi="Times New Roman" w:cs="Times New Roman"/>
          <w:bCs/>
          <w:sz w:val="24"/>
          <w:szCs w:val="24"/>
        </w:rPr>
        <w:t>Huflejt</w:t>
      </w:r>
      <w:proofErr w:type="spellEnd"/>
      <w:r w:rsidRPr="00A05DED">
        <w:rPr>
          <w:rFonts w:ascii="Times New Roman" w:eastAsia="Times New Roman" w:hAnsi="Times New Roman" w:cs="Times New Roman"/>
          <w:bCs/>
          <w:sz w:val="24"/>
          <w:szCs w:val="24"/>
        </w:rPr>
        <w:t xml:space="preserve"> </w:t>
      </w:r>
      <w:proofErr w:type="spellStart"/>
      <w:r w:rsidRPr="00A05DED">
        <w:rPr>
          <w:rFonts w:ascii="Times New Roman" w:eastAsia="Times New Roman" w:hAnsi="Times New Roman" w:cs="Times New Roman"/>
          <w:bCs/>
          <w:sz w:val="24"/>
          <w:szCs w:val="24"/>
        </w:rPr>
        <w:t>Łukasik</w:t>
      </w:r>
      <w:proofErr w:type="spellEnd"/>
      <w:r w:rsidRPr="00A05DED">
        <w:rPr>
          <w:rFonts w:ascii="Times New Roman" w:eastAsia="Times New Roman" w:hAnsi="Times New Roman" w:cs="Times New Roman"/>
          <w:bCs/>
          <w:sz w:val="24"/>
          <w:szCs w:val="24"/>
        </w:rPr>
        <w:t xml:space="preserve"> et al. (2022) </w:t>
      </w:r>
      <w:r w:rsidRPr="00A05DED">
        <w:rPr>
          <w:rFonts w:ascii="Times New Roman" w:eastAsia="Times New Roman" w:hAnsi="Times New Roman" w:cs="Times New Roman"/>
          <w:bCs/>
          <w:sz w:val="24"/>
          <w:szCs w:val="24"/>
        </w:rPr>
        <w:lastRenderedPageBreak/>
        <w:t xml:space="preserve">argued that subjective perception of change leads to psychological consequences more than objective change and that coaching can reduce the subjective costs of change by modifying perceptions and reducing strain. This suggests that Courts should use coaching supports for managers and teams so that fear and resistance do not become the dominant response. Moreover, change will stabilize when the tools and routines are applied to the actual work practice because people will embrace what works and abandon what does not. Implementation will need co-creation since routines shaped by practice are easier to use and more acceptable than rules imposed on them. </w:t>
      </w:r>
      <w:proofErr w:type="spellStart"/>
      <w:r w:rsidRPr="00A05DED">
        <w:rPr>
          <w:rFonts w:ascii="Times New Roman" w:eastAsia="Times New Roman" w:hAnsi="Times New Roman" w:cs="Times New Roman"/>
          <w:bCs/>
          <w:sz w:val="24"/>
          <w:szCs w:val="24"/>
        </w:rPr>
        <w:t>Bruzzone</w:t>
      </w:r>
      <w:proofErr w:type="spellEnd"/>
      <w:r w:rsidRPr="00A05DED">
        <w:rPr>
          <w:rFonts w:ascii="Times New Roman" w:eastAsia="Times New Roman" w:hAnsi="Times New Roman" w:cs="Times New Roman"/>
          <w:bCs/>
          <w:sz w:val="24"/>
          <w:szCs w:val="24"/>
        </w:rPr>
        <w:t xml:space="preserve"> and </w:t>
      </w:r>
      <w:proofErr w:type="spellStart"/>
      <w:r w:rsidRPr="00A05DED">
        <w:rPr>
          <w:rFonts w:ascii="Times New Roman" w:eastAsia="Times New Roman" w:hAnsi="Times New Roman" w:cs="Times New Roman"/>
          <w:bCs/>
          <w:sz w:val="24"/>
          <w:szCs w:val="24"/>
        </w:rPr>
        <w:t>Crevani</w:t>
      </w:r>
      <w:proofErr w:type="spellEnd"/>
      <w:r w:rsidRPr="00A05DED">
        <w:rPr>
          <w:rFonts w:ascii="Times New Roman" w:eastAsia="Times New Roman" w:hAnsi="Times New Roman" w:cs="Times New Roman"/>
          <w:bCs/>
          <w:sz w:val="24"/>
          <w:szCs w:val="24"/>
        </w:rPr>
        <w:t xml:space="preserve"> (2022) defined change as a </w:t>
      </w:r>
      <w:proofErr w:type="spellStart"/>
      <w:r w:rsidRPr="00A05DED">
        <w:rPr>
          <w:rFonts w:ascii="Times New Roman" w:eastAsia="Times New Roman" w:hAnsi="Times New Roman" w:cs="Times New Roman"/>
          <w:bCs/>
          <w:sz w:val="24"/>
          <w:szCs w:val="24"/>
        </w:rPr>
        <w:t>sociomaterial</w:t>
      </w:r>
      <w:proofErr w:type="spellEnd"/>
      <w:r w:rsidRPr="00A05DED">
        <w:rPr>
          <w:rFonts w:ascii="Times New Roman" w:eastAsia="Times New Roman" w:hAnsi="Times New Roman" w:cs="Times New Roman"/>
          <w:bCs/>
          <w:sz w:val="24"/>
          <w:szCs w:val="24"/>
        </w:rPr>
        <w:t xml:space="preserve"> process in which practitioners and tools shape each other through interaction and in which co-created artefacts can facilitate cooperation. This demonstrates that Courts should engage employees in the development of routines, checklists, and decision rules so that change becomes workable. Therefore, co-creation should be used to improve usability, reduce political resistance, and embed change into normal operations.</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1"/>
        <w:spacing w:before="0" w:line="480" w:lineRule="auto"/>
        <w:rPr>
          <w:rFonts w:eastAsia="Times New Roman" w:cs="Times New Roman"/>
          <w:szCs w:val="24"/>
        </w:rPr>
      </w:pPr>
      <w:bookmarkStart w:id="18" w:name="_Toc228760573"/>
      <w:proofErr w:type="spellStart"/>
      <w:r w:rsidRPr="00A05DED">
        <w:rPr>
          <w:rFonts w:eastAsia="Times New Roman" w:cs="Times New Roman"/>
          <w:szCs w:val="24"/>
        </w:rPr>
        <w:t>Jabri</w:t>
      </w:r>
      <w:bookmarkEnd w:id="18"/>
      <w:proofErr w:type="spellEnd"/>
    </w:p>
    <w:p w:rsidR="00311263" w:rsidRPr="00A05DED" w:rsidRDefault="00311263" w:rsidP="00A05DED">
      <w:pPr>
        <w:pStyle w:val="Heading2"/>
        <w:spacing w:before="0" w:beforeAutospacing="0" w:after="0" w:afterAutospacing="0" w:line="480" w:lineRule="auto"/>
        <w:rPr>
          <w:szCs w:val="24"/>
        </w:rPr>
      </w:pPr>
      <w:bookmarkStart w:id="19" w:name="_Toc228760574"/>
      <w:r w:rsidRPr="00A05DED">
        <w:rPr>
          <w:szCs w:val="24"/>
        </w:rPr>
        <w:t>Meaning Making, Communication, and Dialogue</w:t>
      </w:r>
      <w:bookmarkEnd w:id="19"/>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proofErr w:type="spellStart"/>
      <w:r w:rsidRPr="00A05DED">
        <w:rPr>
          <w:rFonts w:ascii="Times New Roman" w:eastAsia="Times New Roman" w:hAnsi="Times New Roman" w:cs="Times New Roman"/>
          <w:bCs/>
          <w:sz w:val="24"/>
          <w:szCs w:val="24"/>
        </w:rPr>
        <w:t>Jabri</w:t>
      </w:r>
      <w:proofErr w:type="spellEnd"/>
      <w:r w:rsidRPr="00A05DED">
        <w:rPr>
          <w:rFonts w:ascii="Times New Roman" w:eastAsia="Times New Roman" w:hAnsi="Times New Roman" w:cs="Times New Roman"/>
          <w:bCs/>
          <w:sz w:val="24"/>
          <w:szCs w:val="24"/>
        </w:rPr>
        <w:t xml:space="preserve"> pays special attention to the aspect of meaning-making since employees determine whether they should support change depending on its sense to their work, identity, and fairness. Meaning becomes negative when individuals feel that change is forced, vague or threatening and can make change efforts more resistant even when benefits are apparent. </w:t>
      </w:r>
      <w:proofErr w:type="spellStart"/>
      <w:r w:rsidRPr="00A05DED">
        <w:rPr>
          <w:rFonts w:ascii="Times New Roman" w:eastAsia="Times New Roman" w:hAnsi="Times New Roman" w:cs="Times New Roman"/>
          <w:bCs/>
          <w:sz w:val="24"/>
          <w:szCs w:val="24"/>
        </w:rPr>
        <w:t>Huflejt</w:t>
      </w:r>
      <w:proofErr w:type="spellEnd"/>
      <w:r w:rsidRPr="00A05DED">
        <w:rPr>
          <w:rFonts w:ascii="Times New Roman" w:eastAsia="Times New Roman" w:hAnsi="Times New Roman" w:cs="Times New Roman"/>
          <w:bCs/>
          <w:sz w:val="24"/>
          <w:szCs w:val="24"/>
        </w:rPr>
        <w:t xml:space="preserve"> </w:t>
      </w:r>
      <w:proofErr w:type="spellStart"/>
      <w:r w:rsidRPr="00A05DED">
        <w:rPr>
          <w:rFonts w:ascii="Times New Roman" w:eastAsia="Times New Roman" w:hAnsi="Times New Roman" w:cs="Times New Roman"/>
          <w:bCs/>
          <w:sz w:val="24"/>
          <w:szCs w:val="24"/>
        </w:rPr>
        <w:t>Łukasik</w:t>
      </w:r>
      <w:proofErr w:type="spellEnd"/>
      <w:r w:rsidRPr="00A05DED">
        <w:rPr>
          <w:rFonts w:ascii="Times New Roman" w:eastAsia="Times New Roman" w:hAnsi="Times New Roman" w:cs="Times New Roman"/>
          <w:bCs/>
          <w:sz w:val="24"/>
          <w:szCs w:val="24"/>
        </w:rPr>
        <w:t xml:space="preserve"> et al. (2022) elaborated that subjective perceptions of change are the most important factors of psychological impact and that coaching can alter perceptions and decrease subjective cost. This shows that Courts should be active in managing meaning by making clear messages, leadership </w:t>
      </w:r>
      <w:proofErr w:type="spellStart"/>
      <w:r w:rsidRPr="00A05DED">
        <w:rPr>
          <w:rFonts w:ascii="Times New Roman" w:eastAsia="Times New Roman" w:hAnsi="Times New Roman" w:cs="Times New Roman"/>
          <w:bCs/>
          <w:sz w:val="24"/>
          <w:szCs w:val="24"/>
        </w:rPr>
        <w:lastRenderedPageBreak/>
        <w:t>behaviour</w:t>
      </w:r>
      <w:proofErr w:type="spellEnd"/>
      <w:r w:rsidRPr="00A05DED">
        <w:rPr>
          <w:rFonts w:ascii="Times New Roman" w:eastAsia="Times New Roman" w:hAnsi="Times New Roman" w:cs="Times New Roman"/>
          <w:bCs/>
          <w:sz w:val="24"/>
          <w:szCs w:val="24"/>
        </w:rPr>
        <w:t xml:space="preserve"> and support make the change feel useful and fair. Thus, the management of sense-making needs to be handled as an ongoing process and not as a one-time announcement. Furthermore, </w:t>
      </w:r>
      <w:proofErr w:type="spellStart"/>
      <w:r w:rsidRPr="00A05DED">
        <w:rPr>
          <w:rFonts w:ascii="Times New Roman" w:eastAsia="Times New Roman" w:hAnsi="Times New Roman" w:cs="Times New Roman"/>
          <w:bCs/>
          <w:sz w:val="24"/>
          <w:szCs w:val="24"/>
        </w:rPr>
        <w:t>Jabri</w:t>
      </w:r>
      <w:proofErr w:type="spellEnd"/>
      <w:r w:rsidRPr="00A05DED">
        <w:rPr>
          <w:rFonts w:ascii="Times New Roman" w:eastAsia="Times New Roman" w:hAnsi="Times New Roman" w:cs="Times New Roman"/>
          <w:bCs/>
          <w:sz w:val="24"/>
          <w:szCs w:val="24"/>
        </w:rPr>
        <w:t xml:space="preserve"> emphasizes communication and dialogue as the process according to which the change is organized and corrected in real time. The quality of communication is more important than the amount of communication, since when information is not shared in its interpretation, then communication becomes chaotic. Cunningham et al. (2023) argue that poor feedback loops are a factor that leads to a lack of operational connection. This implies that the Courts should develop dialogue routines to generate clarity, permit questions, and relate decisions to results by use of feedback loops. Thus, communication must be designed as a common dialogue and feedback mechanisms that maintain alignment.</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20" w:name="_Toc228760575"/>
      <w:r w:rsidRPr="00A05DED">
        <w:rPr>
          <w:szCs w:val="24"/>
        </w:rPr>
        <w:t>Identity, Roles, Power, and Politics</w:t>
      </w:r>
      <w:bookmarkEnd w:id="20"/>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Change transforms identity and roles as employees are forced to change the way they conceptualize good performance and the type of </w:t>
      </w:r>
      <w:proofErr w:type="spellStart"/>
      <w:r w:rsidRPr="00A05DED">
        <w:rPr>
          <w:rFonts w:ascii="Times New Roman" w:eastAsia="Times New Roman" w:hAnsi="Times New Roman" w:cs="Times New Roman"/>
          <w:bCs/>
          <w:sz w:val="24"/>
          <w:szCs w:val="24"/>
        </w:rPr>
        <w:t>behaviours</w:t>
      </w:r>
      <w:proofErr w:type="spellEnd"/>
      <w:r w:rsidRPr="00A05DED">
        <w:rPr>
          <w:rFonts w:ascii="Times New Roman" w:eastAsia="Times New Roman" w:hAnsi="Times New Roman" w:cs="Times New Roman"/>
          <w:bCs/>
          <w:sz w:val="24"/>
          <w:szCs w:val="24"/>
        </w:rPr>
        <w:t xml:space="preserve"> they anticipate. The role changes are easier when individuals feel secure to learn and to acknowledge a lack of knowledge, which helps in adapting. </w:t>
      </w:r>
      <w:proofErr w:type="spellStart"/>
      <w:r w:rsidRPr="00A05DED">
        <w:rPr>
          <w:rFonts w:ascii="Times New Roman" w:eastAsia="Times New Roman" w:hAnsi="Times New Roman" w:cs="Times New Roman"/>
          <w:bCs/>
          <w:sz w:val="24"/>
          <w:szCs w:val="24"/>
        </w:rPr>
        <w:t>Jin</w:t>
      </w:r>
      <w:proofErr w:type="spellEnd"/>
      <w:r w:rsidRPr="00A05DED">
        <w:rPr>
          <w:rFonts w:ascii="Times New Roman" w:eastAsia="Times New Roman" w:hAnsi="Times New Roman" w:cs="Times New Roman"/>
          <w:bCs/>
          <w:sz w:val="24"/>
          <w:szCs w:val="24"/>
        </w:rPr>
        <w:t xml:space="preserve"> and Peng (2024) demonstrated that psychological safety facilitates innovative performance by enhancing communication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which comprises information sharing and cooperative exchange. This means that Courts should safeguard safe voice and learning in role changes to ensure that employees can demand assistance and perfect practice without fear. Learning routines and norms of respectful communication that lessen defensive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should support identity and role change. Furthermore, </w:t>
      </w:r>
      <w:proofErr w:type="spellStart"/>
      <w:r w:rsidRPr="00A05DED">
        <w:rPr>
          <w:rFonts w:ascii="Times New Roman" w:eastAsia="Times New Roman" w:hAnsi="Times New Roman" w:cs="Times New Roman"/>
          <w:bCs/>
          <w:sz w:val="24"/>
          <w:szCs w:val="24"/>
        </w:rPr>
        <w:t>Jabri</w:t>
      </w:r>
      <w:proofErr w:type="spellEnd"/>
      <w:r w:rsidRPr="00A05DED">
        <w:rPr>
          <w:rFonts w:ascii="Times New Roman" w:eastAsia="Times New Roman" w:hAnsi="Times New Roman" w:cs="Times New Roman"/>
          <w:bCs/>
          <w:sz w:val="24"/>
          <w:szCs w:val="24"/>
        </w:rPr>
        <w:t xml:space="preserve"> acknowledges power and politics since change tends to shift control of information, decision rights and accountability. Resistance may increase when individuals perceive themselves as not involved in design or when </w:t>
      </w:r>
      <w:r w:rsidRPr="00A05DED">
        <w:rPr>
          <w:rFonts w:ascii="Times New Roman" w:eastAsia="Times New Roman" w:hAnsi="Times New Roman" w:cs="Times New Roman"/>
          <w:bCs/>
          <w:sz w:val="24"/>
          <w:szCs w:val="24"/>
        </w:rPr>
        <w:lastRenderedPageBreak/>
        <w:t xml:space="preserve">new routines are not seen as realistic and just. </w:t>
      </w:r>
      <w:proofErr w:type="spellStart"/>
      <w:r w:rsidRPr="00A05DED">
        <w:rPr>
          <w:rFonts w:ascii="Times New Roman" w:eastAsia="Times New Roman" w:hAnsi="Times New Roman" w:cs="Times New Roman"/>
          <w:bCs/>
          <w:sz w:val="24"/>
          <w:szCs w:val="24"/>
        </w:rPr>
        <w:t>Bruzzone</w:t>
      </w:r>
      <w:proofErr w:type="spellEnd"/>
      <w:r w:rsidRPr="00A05DED">
        <w:rPr>
          <w:rFonts w:ascii="Times New Roman" w:eastAsia="Times New Roman" w:hAnsi="Times New Roman" w:cs="Times New Roman"/>
          <w:bCs/>
          <w:sz w:val="24"/>
          <w:szCs w:val="24"/>
        </w:rPr>
        <w:t xml:space="preserve"> and </w:t>
      </w:r>
      <w:proofErr w:type="spellStart"/>
      <w:r w:rsidRPr="00A05DED">
        <w:rPr>
          <w:rFonts w:ascii="Times New Roman" w:eastAsia="Times New Roman" w:hAnsi="Times New Roman" w:cs="Times New Roman"/>
          <w:bCs/>
          <w:sz w:val="24"/>
          <w:szCs w:val="24"/>
        </w:rPr>
        <w:t>Crevani</w:t>
      </w:r>
      <w:proofErr w:type="spellEnd"/>
      <w:r w:rsidRPr="00A05DED">
        <w:rPr>
          <w:rFonts w:ascii="Times New Roman" w:eastAsia="Times New Roman" w:hAnsi="Times New Roman" w:cs="Times New Roman"/>
          <w:bCs/>
          <w:sz w:val="24"/>
          <w:szCs w:val="24"/>
        </w:rPr>
        <w:t xml:space="preserve"> (2022) state that practitioners did not accept an initial checklist, but instead, they co-created a workable approach, and the process also transformed the cooperation and power relationship. This indicates that the legitimacy level rises as workers contribute to the creation of the routine that they have to work by, leading to a decreased level of political opposition. Thus, the Courts are expected to deal with power and politics by participating, co-creating and through routine practical activities that are suited to daily work.</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21" w:name="_Toc228760576"/>
      <w:r w:rsidRPr="00A05DED">
        <w:rPr>
          <w:szCs w:val="24"/>
        </w:rPr>
        <w:t>Implications and Managerial Actions</w:t>
      </w:r>
      <w:bookmarkEnd w:id="21"/>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Kaleidoscope diagnosis suggests that the Courts must give emphasis to implementation decisions that can decrease confusion and enhance uniformity among departments. Courts should therefore clarify decision rights, </w:t>
      </w:r>
      <w:proofErr w:type="spellStart"/>
      <w:r w:rsidRPr="00A05DED">
        <w:rPr>
          <w:rFonts w:ascii="Times New Roman" w:eastAsia="Times New Roman" w:hAnsi="Times New Roman" w:cs="Times New Roman"/>
          <w:bCs/>
          <w:sz w:val="24"/>
          <w:szCs w:val="24"/>
        </w:rPr>
        <w:t>standardise</w:t>
      </w:r>
      <w:proofErr w:type="spellEnd"/>
      <w:r w:rsidRPr="00A05DED">
        <w:rPr>
          <w:rFonts w:ascii="Times New Roman" w:eastAsia="Times New Roman" w:hAnsi="Times New Roman" w:cs="Times New Roman"/>
          <w:bCs/>
          <w:sz w:val="24"/>
          <w:szCs w:val="24"/>
        </w:rPr>
        <w:t xml:space="preserve"> communication routines, and align training with the real workflow, so employees do not create workarounds that weaken the change. This implies that the perceived complexity is reduced through pragmatically designed and sequenced, but not necessarily through messaging. Furthermore, the Kaleidoscope diagnosis suggests that capacity and engagement should be constructed using job-level resources since employees commit to learning when they are informed, involved, and able to learn. It is engagement that is defined by job level information, involvement, and learning, rather than broad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signals (Albrecht et al., 2022). This shows that Courts must incorporate change supports into daily work, through clear guidance, local participation and structured learning, instead of depending on slogans. In addition, the </w:t>
      </w:r>
      <w:proofErr w:type="spellStart"/>
      <w:r w:rsidRPr="00A05DED">
        <w:rPr>
          <w:rFonts w:ascii="Times New Roman" w:eastAsia="Times New Roman" w:hAnsi="Times New Roman" w:cs="Times New Roman"/>
          <w:bCs/>
          <w:sz w:val="24"/>
          <w:szCs w:val="24"/>
        </w:rPr>
        <w:t>Jabri</w:t>
      </w:r>
      <w:proofErr w:type="spellEnd"/>
      <w:r w:rsidRPr="00A05DED">
        <w:rPr>
          <w:rFonts w:ascii="Times New Roman" w:eastAsia="Times New Roman" w:hAnsi="Times New Roman" w:cs="Times New Roman"/>
          <w:bCs/>
          <w:sz w:val="24"/>
          <w:szCs w:val="24"/>
        </w:rPr>
        <w:t xml:space="preserve"> analysis suggests that Courts have to deal with the social process of change by shaping the meaning, creating dialogue, and diminishing disconnect in the various departments. Disconnect in operations may arise due to variations in communication patterns and </w:t>
      </w:r>
      <w:r w:rsidRPr="00A05DED">
        <w:rPr>
          <w:rFonts w:ascii="Times New Roman" w:eastAsia="Times New Roman" w:hAnsi="Times New Roman" w:cs="Times New Roman"/>
          <w:bCs/>
          <w:sz w:val="24"/>
          <w:szCs w:val="24"/>
        </w:rPr>
        <w:lastRenderedPageBreak/>
        <w:t xml:space="preserve">the existence of weak feedback mechanisms, which diminishes the ability to act in unison (Cunningham et al., 2023). This demonstrates that Courts must establish shared feedback mechanisms, predictable channels of communication, and secure spaces of dialogue that can enable early reporting of problems and collective learning. Therefore, the core implication is that Courts can </w:t>
      </w:r>
      <w:proofErr w:type="spellStart"/>
      <w:r w:rsidRPr="00A05DED">
        <w:rPr>
          <w:rFonts w:ascii="Times New Roman" w:eastAsia="Times New Roman" w:hAnsi="Times New Roman" w:cs="Times New Roman"/>
          <w:bCs/>
          <w:sz w:val="24"/>
          <w:szCs w:val="24"/>
        </w:rPr>
        <w:t>stabilise</w:t>
      </w:r>
      <w:proofErr w:type="spellEnd"/>
      <w:r w:rsidRPr="00A05DED">
        <w:rPr>
          <w:rFonts w:ascii="Times New Roman" w:eastAsia="Times New Roman" w:hAnsi="Times New Roman" w:cs="Times New Roman"/>
          <w:bCs/>
          <w:sz w:val="24"/>
          <w:szCs w:val="24"/>
        </w:rPr>
        <w:t xml:space="preserve"> change into normal operations when they combine visible support, job-level resources, safe communication, practical co-creation, and disciplined pacing that protects learning and wellbeing.</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1"/>
        <w:spacing w:before="0" w:line="480" w:lineRule="auto"/>
        <w:rPr>
          <w:rFonts w:eastAsia="Times New Roman" w:cs="Times New Roman"/>
          <w:szCs w:val="24"/>
        </w:rPr>
      </w:pPr>
      <w:bookmarkStart w:id="22" w:name="_Toc228760577"/>
      <w:r w:rsidRPr="00A05DED">
        <w:rPr>
          <w:rFonts w:eastAsia="Times New Roman" w:cs="Times New Roman"/>
          <w:szCs w:val="24"/>
        </w:rPr>
        <w:t>Recommendations</w:t>
      </w:r>
      <w:bookmarkEnd w:id="22"/>
    </w:p>
    <w:p w:rsidR="00311263" w:rsidRPr="00A05DED" w:rsidRDefault="00311263" w:rsidP="00A05DED">
      <w:pPr>
        <w:pStyle w:val="Heading2"/>
        <w:spacing w:before="0" w:beforeAutospacing="0" w:after="0" w:afterAutospacing="0" w:line="480" w:lineRule="auto"/>
        <w:rPr>
          <w:szCs w:val="24"/>
        </w:rPr>
      </w:pPr>
      <w:bookmarkStart w:id="23" w:name="_Toc228760578"/>
      <w:r w:rsidRPr="00A05DED">
        <w:rPr>
          <w:szCs w:val="24"/>
        </w:rPr>
        <w:t>Shared Ownership</w:t>
      </w:r>
      <w:bookmarkEnd w:id="23"/>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Courts must redesign work in such a way that teams rely on one another across functions, and such teams are collectively responsible for achieving improved outcomes. Shared responsibility enhances everyday innovation in the sense that employees are no longer seeing improvement as something that is out of their job description, but as something that is now part of normal performance. According to You et al. (2022), the climate of innovation underpins innovative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through psychological ownership, and task interdependence reinforces this bond. This demonstrates that Courts may enhance innovative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when employees perceive the work to be theirs and when the coordination of tasks necessitates a coordination of efforts. Therefore, Courts should align goals, routines, and recognition with shared ownership and cross-functional interdependence.</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24" w:name="_Toc228760579"/>
      <w:r w:rsidRPr="00A05DED">
        <w:rPr>
          <w:szCs w:val="24"/>
        </w:rPr>
        <w:t>Enabling Leadership</w:t>
      </w:r>
      <w:bookmarkEnd w:id="24"/>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lastRenderedPageBreak/>
        <w:t xml:space="preserve">Courts must cultivate leadership </w:t>
      </w:r>
      <w:proofErr w:type="spellStart"/>
      <w:r w:rsidRPr="00A05DED">
        <w:rPr>
          <w:rFonts w:ascii="Times New Roman" w:eastAsia="Times New Roman" w:hAnsi="Times New Roman" w:cs="Times New Roman"/>
          <w:bCs/>
          <w:sz w:val="24"/>
          <w:szCs w:val="24"/>
        </w:rPr>
        <w:t>behaviours</w:t>
      </w:r>
      <w:proofErr w:type="spellEnd"/>
      <w:r w:rsidRPr="00A05DED">
        <w:rPr>
          <w:rFonts w:ascii="Times New Roman" w:eastAsia="Times New Roman" w:hAnsi="Times New Roman" w:cs="Times New Roman"/>
          <w:bCs/>
          <w:sz w:val="24"/>
          <w:szCs w:val="24"/>
        </w:rPr>
        <w:t xml:space="preserve"> to facilitate collective creativity and routines of sustained innovation in everyday work. Leaders are advised to safeguard learning time, offer improvement tools, and reward collaboration to help employees view innovation as a legitimate and valued process. Huang et al. (2022) associated leadership with collective creativity and innovation outcomes and emphasized the need for leadership support to create the conditions. This means that managers should not just stop controlling only habits but should instead actively make conditions that welcome ideas, experimentation and learning. Therefore, leadership should be developed and evaluated on enabling creativity and improvement, not only on meeting targets.</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25" w:name="_Toc228760580"/>
      <w:r w:rsidRPr="00A05DED">
        <w:rPr>
          <w:szCs w:val="24"/>
        </w:rPr>
        <w:t>Phased Change Design</w:t>
      </w:r>
      <w:bookmarkEnd w:id="25"/>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Courts should enhance acceptance by simplifying and reducing resistance, and by increasing visible support and perceived advantage at the employment level. Change should be implemented in phases with distinct steps, role-specific guidance, and real opportunities to participate so that employees can learn without confusion. When leaders support their employees and the value is clear, and complexity and habit drag them back to past practices, employees are more willing to embrace transformation (</w:t>
      </w:r>
      <w:proofErr w:type="spellStart"/>
      <w:r w:rsidRPr="00A05DED">
        <w:rPr>
          <w:rFonts w:ascii="Times New Roman" w:eastAsia="Times New Roman" w:hAnsi="Times New Roman" w:cs="Times New Roman"/>
          <w:bCs/>
          <w:sz w:val="24"/>
          <w:szCs w:val="24"/>
        </w:rPr>
        <w:t>Mutambik</w:t>
      </w:r>
      <w:proofErr w:type="spellEnd"/>
      <w:r w:rsidRPr="00A05DED">
        <w:rPr>
          <w:rFonts w:ascii="Times New Roman" w:eastAsia="Times New Roman" w:hAnsi="Times New Roman" w:cs="Times New Roman"/>
          <w:bCs/>
          <w:sz w:val="24"/>
          <w:szCs w:val="24"/>
        </w:rPr>
        <w:t xml:space="preserve"> &amp; </w:t>
      </w:r>
      <w:proofErr w:type="spellStart"/>
      <w:r w:rsidRPr="00A05DED">
        <w:rPr>
          <w:rFonts w:ascii="Times New Roman" w:eastAsia="Times New Roman" w:hAnsi="Times New Roman" w:cs="Times New Roman"/>
          <w:bCs/>
          <w:sz w:val="24"/>
          <w:szCs w:val="24"/>
        </w:rPr>
        <w:t>Almuqrin</w:t>
      </w:r>
      <w:proofErr w:type="spellEnd"/>
      <w:r w:rsidRPr="00A05DED">
        <w:rPr>
          <w:rFonts w:ascii="Times New Roman" w:eastAsia="Times New Roman" w:hAnsi="Times New Roman" w:cs="Times New Roman"/>
          <w:bCs/>
          <w:sz w:val="24"/>
          <w:szCs w:val="24"/>
        </w:rPr>
        <w:t>, 2024). This demonstrates that resistance is usually due to uncertainty and efforts rather than simply unwillingness. Thus, Courts must reduce work steps, package benefits in realistic role language, and integrate learning routines that make adoption realistic.</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2"/>
        <w:spacing w:before="0" w:beforeAutospacing="0" w:after="0" w:afterAutospacing="0" w:line="480" w:lineRule="auto"/>
        <w:rPr>
          <w:szCs w:val="24"/>
        </w:rPr>
      </w:pPr>
      <w:bookmarkStart w:id="26" w:name="_Toc228760581"/>
      <w:r w:rsidRPr="00A05DED">
        <w:rPr>
          <w:szCs w:val="24"/>
        </w:rPr>
        <w:t>Co-created Routines</w:t>
      </w:r>
      <w:bookmarkEnd w:id="26"/>
    </w:p>
    <w:p w:rsidR="00311263" w:rsidRPr="00A05DED"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lastRenderedPageBreak/>
        <w:t xml:space="preserve">Courts must </w:t>
      </w:r>
      <w:proofErr w:type="spellStart"/>
      <w:r w:rsidRPr="00A05DED">
        <w:rPr>
          <w:rFonts w:ascii="Times New Roman" w:eastAsia="Times New Roman" w:hAnsi="Times New Roman" w:cs="Times New Roman"/>
          <w:bCs/>
          <w:sz w:val="24"/>
          <w:szCs w:val="24"/>
        </w:rPr>
        <w:t>stabilise</w:t>
      </w:r>
      <w:proofErr w:type="spellEnd"/>
      <w:r w:rsidRPr="00A05DED">
        <w:rPr>
          <w:rFonts w:ascii="Times New Roman" w:eastAsia="Times New Roman" w:hAnsi="Times New Roman" w:cs="Times New Roman"/>
          <w:bCs/>
          <w:sz w:val="24"/>
          <w:szCs w:val="24"/>
        </w:rPr>
        <w:t xml:space="preserve"> change by making employees take part in the processes of shaping the routines and working methods that they are required to adopt. Moreover, participation enhances usability and legitimacy since employees embrace what is suitable to real work and reject what they feel is imposed and unrealistic. </w:t>
      </w:r>
      <w:proofErr w:type="spellStart"/>
      <w:r w:rsidRPr="00A05DED">
        <w:rPr>
          <w:rFonts w:ascii="Times New Roman" w:eastAsia="Times New Roman" w:hAnsi="Times New Roman" w:cs="Times New Roman"/>
          <w:bCs/>
          <w:sz w:val="24"/>
          <w:szCs w:val="24"/>
        </w:rPr>
        <w:t>Bruzzone</w:t>
      </w:r>
      <w:proofErr w:type="spellEnd"/>
      <w:r w:rsidRPr="00A05DED">
        <w:rPr>
          <w:rFonts w:ascii="Times New Roman" w:eastAsia="Times New Roman" w:hAnsi="Times New Roman" w:cs="Times New Roman"/>
          <w:bCs/>
          <w:sz w:val="24"/>
          <w:szCs w:val="24"/>
        </w:rPr>
        <w:t xml:space="preserve"> and </w:t>
      </w:r>
      <w:proofErr w:type="spellStart"/>
      <w:r w:rsidRPr="00A05DED">
        <w:rPr>
          <w:rFonts w:ascii="Times New Roman" w:eastAsia="Times New Roman" w:hAnsi="Times New Roman" w:cs="Times New Roman"/>
          <w:bCs/>
          <w:sz w:val="24"/>
          <w:szCs w:val="24"/>
        </w:rPr>
        <w:t>Crevani</w:t>
      </w:r>
      <w:proofErr w:type="spellEnd"/>
      <w:r w:rsidRPr="00A05DED">
        <w:rPr>
          <w:rFonts w:ascii="Times New Roman" w:eastAsia="Times New Roman" w:hAnsi="Times New Roman" w:cs="Times New Roman"/>
          <w:bCs/>
          <w:sz w:val="24"/>
          <w:szCs w:val="24"/>
        </w:rPr>
        <w:t xml:space="preserve"> (2022) defined change as a socio-material process in which routines become workable through practitioner involvement and co-creation rather than imposed, linear toolkits. This shows that stability develops as new habits become effective in practice and as workers perceive the change as a viable one. Consequently, Courts must employ co-creation to develop viable routines that instill change into the regular processes.</w:t>
      </w:r>
    </w:p>
    <w:p w:rsidR="00311263" w:rsidRPr="00A05DED" w:rsidRDefault="00311263" w:rsidP="00A05DED">
      <w:pPr>
        <w:spacing w:after="0" w:line="480" w:lineRule="auto"/>
        <w:rPr>
          <w:rFonts w:ascii="Times New Roman" w:eastAsia="Times New Roman" w:hAnsi="Times New Roman" w:cs="Times New Roman"/>
          <w:bCs/>
          <w:sz w:val="24"/>
          <w:szCs w:val="24"/>
        </w:rPr>
      </w:pPr>
    </w:p>
    <w:p w:rsidR="00311263" w:rsidRPr="00A05DED" w:rsidRDefault="00311263" w:rsidP="00A05DED">
      <w:pPr>
        <w:pStyle w:val="Heading1"/>
        <w:spacing w:before="0" w:line="480" w:lineRule="auto"/>
        <w:rPr>
          <w:rFonts w:eastAsia="Times New Roman" w:cs="Times New Roman"/>
          <w:szCs w:val="24"/>
        </w:rPr>
      </w:pPr>
      <w:bookmarkStart w:id="27" w:name="_Toc228760582"/>
      <w:r w:rsidRPr="00A05DED">
        <w:rPr>
          <w:rFonts w:eastAsia="Times New Roman" w:cs="Times New Roman"/>
          <w:szCs w:val="24"/>
        </w:rPr>
        <w:t>Conclusion</w:t>
      </w:r>
      <w:bookmarkEnd w:id="27"/>
    </w:p>
    <w:p w:rsidR="00666C07" w:rsidRDefault="00311263" w:rsidP="00A05DED">
      <w:pPr>
        <w:spacing w:after="0" w:line="480" w:lineRule="auto"/>
        <w:ind w:firstLine="720"/>
        <w:rPr>
          <w:rFonts w:ascii="Times New Roman" w:eastAsia="Times New Roman" w:hAnsi="Times New Roman" w:cs="Times New Roman"/>
          <w:bCs/>
          <w:sz w:val="24"/>
          <w:szCs w:val="24"/>
        </w:rPr>
      </w:pPr>
      <w:r w:rsidRPr="00A05DED">
        <w:rPr>
          <w:rFonts w:ascii="Times New Roman" w:eastAsia="Times New Roman" w:hAnsi="Times New Roman" w:cs="Times New Roman"/>
          <w:bCs/>
          <w:sz w:val="24"/>
          <w:szCs w:val="24"/>
        </w:rPr>
        <w:t xml:space="preserve">Courts Guyana Inc. has a business environment where the customer expectations, the competition, and the technology-driven service standards are constantly on the increase. In this regard, encouraging creativity, innovation and entrepreneurship is not a single project. It is an </w:t>
      </w:r>
      <w:proofErr w:type="spellStart"/>
      <w:r w:rsidRPr="00A05DED">
        <w:rPr>
          <w:rFonts w:ascii="Times New Roman" w:eastAsia="Times New Roman" w:hAnsi="Times New Roman" w:cs="Times New Roman"/>
          <w:bCs/>
          <w:sz w:val="24"/>
          <w:szCs w:val="24"/>
        </w:rPr>
        <w:t>organisational</w:t>
      </w:r>
      <w:proofErr w:type="spellEnd"/>
      <w:r w:rsidRPr="00A05DED">
        <w:rPr>
          <w:rFonts w:ascii="Times New Roman" w:eastAsia="Times New Roman" w:hAnsi="Times New Roman" w:cs="Times New Roman"/>
          <w:bCs/>
          <w:sz w:val="24"/>
          <w:szCs w:val="24"/>
        </w:rPr>
        <w:t xml:space="preserve"> capability that should be entrenched in day-to-day work. This analysis demonstrates that Entrepreneurial Architecture at Courts is reinforced when employees have an innovation supportive climate, feel ownership to improve, and work in interdependent ways that make shared problem solving normal. It also demonstrates that psychologically supportive environments are important, as individuals are more consistent in offering ideas, raising concerns, and learning from errors when they feel safe and valued. Thus, the Courts require an internal environment where improvement is desired, learning is respected, and leadership encourages collective creativity instead of leading the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towards compliance with targets. The analysis further reveals that innovation will not become a stable practice in the </w:t>
      </w:r>
      <w:r w:rsidRPr="00A05DED">
        <w:rPr>
          <w:rFonts w:ascii="Times New Roman" w:eastAsia="Times New Roman" w:hAnsi="Times New Roman" w:cs="Times New Roman"/>
          <w:bCs/>
          <w:sz w:val="24"/>
          <w:szCs w:val="24"/>
        </w:rPr>
        <w:lastRenderedPageBreak/>
        <w:t xml:space="preserve">absence of effective change capability. When the change process is approached as being of a </w:t>
      </w:r>
      <w:proofErr w:type="spellStart"/>
      <w:r w:rsidRPr="00A05DED">
        <w:rPr>
          <w:rFonts w:ascii="Times New Roman" w:eastAsia="Times New Roman" w:hAnsi="Times New Roman" w:cs="Times New Roman"/>
          <w:bCs/>
          <w:sz w:val="24"/>
          <w:szCs w:val="24"/>
        </w:rPr>
        <w:t>proclinking</w:t>
      </w:r>
      <w:proofErr w:type="spellEnd"/>
      <w:r w:rsidRPr="00A05DED">
        <w:rPr>
          <w:rFonts w:ascii="Times New Roman" w:eastAsia="Times New Roman" w:hAnsi="Times New Roman" w:cs="Times New Roman"/>
          <w:bCs/>
          <w:sz w:val="24"/>
          <w:szCs w:val="24"/>
        </w:rPr>
        <w:t xml:space="preserve"> of conditions rather than activities, then they can better manage the change practice. This translates into pacing change in a way that allows learning to occur, defining scope in a way that ensures that complexity is minimized, safeguarding core operations and well-being throughout the transition, and establishing readiness through the clear role-based support. It also implies enhancing the ability of the middle managers since they determine day-to-day </w:t>
      </w:r>
      <w:proofErr w:type="spellStart"/>
      <w:r w:rsidRPr="00A05DED">
        <w:rPr>
          <w:rFonts w:ascii="Times New Roman" w:eastAsia="Times New Roman" w:hAnsi="Times New Roman" w:cs="Times New Roman"/>
          <w:bCs/>
          <w:sz w:val="24"/>
          <w:szCs w:val="24"/>
        </w:rPr>
        <w:t>behaviour</w:t>
      </w:r>
      <w:proofErr w:type="spellEnd"/>
      <w:r w:rsidRPr="00A05DED">
        <w:rPr>
          <w:rFonts w:ascii="Times New Roman" w:eastAsia="Times New Roman" w:hAnsi="Times New Roman" w:cs="Times New Roman"/>
          <w:bCs/>
          <w:sz w:val="24"/>
          <w:szCs w:val="24"/>
        </w:rPr>
        <w:t xml:space="preserve">, trust and confidence. Therefore, change engagement should be facilitated by job level resources which employees experience directly, in terms of information that is clear, involvement that is meaningful and learning that builds competence. Moreover, the report demonstrates that the social processes influence change outcomes. There must be shared meaning, coordination and feedback loops so that various departments do not have different interpretations of the change and act in uncoordinated ways. The communication should then be planned as a dialogue and feedback process and not just as announcements. Psychological safety is also important when changing, as open communication can help to identify issues early and keep improving. Coaching assistance may alleviate the subjective tension of transition and assist managers and teams to keep positive attitudes. It is also important that routines are co-created, since when routines are co-created, they become established, and change becomes permanent. Consequently, the report concludes that when Courts Inc. integrates Entrepreneurial Architecture and manages the change management process into a single system, it will be able to strengthen its long-term success. The ownership, safety, enabling leadership and customer experience learning should be embraced to support innovation. The management of change must be through the context fit design, strong middle management ability, coordinated communication and practical routines, in which employees contribute to the design. Thus, Courts can encourage creativity, innovation and </w:t>
      </w:r>
      <w:r w:rsidRPr="00A05DED">
        <w:rPr>
          <w:rFonts w:ascii="Times New Roman" w:eastAsia="Times New Roman" w:hAnsi="Times New Roman" w:cs="Times New Roman"/>
          <w:bCs/>
          <w:sz w:val="24"/>
          <w:szCs w:val="24"/>
        </w:rPr>
        <w:lastRenderedPageBreak/>
        <w:t>entrepreneurship in a sustainable way when they develop the internal environment in which innovation can thrive and the disciplined ability to change that is required to make new practices persist.</w:t>
      </w:r>
    </w:p>
    <w:p w:rsidR="00A05DED" w:rsidRDefault="00A05DED" w:rsidP="00A05DED">
      <w:pPr>
        <w:spacing w:after="0" w:line="480" w:lineRule="auto"/>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br w:type="page"/>
      </w:r>
    </w:p>
    <w:p w:rsidR="00A05DED" w:rsidRPr="00A05DED" w:rsidRDefault="00A05DED" w:rsidP="00A05DED">
      <w:pPr>
        <w:pStyle w:val="Heading1"/>
        <w:spacing w:before="0" w:line="480" w:lineRule="auto"/>
        <w:rPr>
          <w:rFonts w:eastAsia="Times New Roman"/>
        </w:rPr>
      </w:pPr>
      <w:r w:rsidRPr="00A05DED">
        <w:rPr>
          <w:rFonts w:eastAsia="Times New Roman"/>
        </w:rPr>
        <w:lastRenderedPageBreak/>
        <w:t>Bibliography</w:t>
      </w:r>
    </w:p>
    <w:p w:rsidR="00A05DED" w:rsidRPr="001C5E3E" w:rsidRDefault="00A05DED" w:rsidP="00A05DED">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t xml:space="preserve">Albrecht, S.L., Connaughton, S. &amp; Leiter, M.P. 2022. The Influence of Change Related Organizational and Job Resources on Employee Change Engagement.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910206. </w:t>
      </w:r>
      <w:hyperlink r:id="rId7" w:tgtFrame="_new" w:history="1">
        <w:r w:rsidRPr="001C5E3E">
          <w:rPr>
            <w:rStyle w:val="Hyperlink"/>
            <w:rFonts w:ascii="Times New Roman" w:hAnsi="Times New Roman" w:cs="Times New Roman"/>
            <w:sz w:val="24"/>
            <w:szCs w:val="24"/>
          </w:rPr>
          <w:t>https://doi.org/10.3389/fpsyg.2022.910206</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Aljohani</w:t>
      </w:r>
      <w:proofErr w:type="spellEnd"/>
      <w:r w:rsidRPr="001C5E3E">
        <w:rPr>
          <w:rFonts w:ascii="Times New Roman" w:hAnsi="Times New Roman" w:cs="Times New Roman"/>
          <w:sz w:val="24"/>
          <w:szCs w:val="24"/>
        </w:rPr>
        <w:t xml:space="preserve">, K. 2024. The Role of Last Mile Delivery Quality and Satisfaction in Online Retail Experience: An Empirical Analysis. </w:t>
      </w:r>
      <w:r w:rsidRPr="001C5E3E">
        <w:rPr>
          <w:rFonts w:ascii="Times New Roman" w:hAnsi="Times New Roman" w:cs="Times New Roman"/>
          <w:i/>
          <w:iCs/>
          <w:sz w:val="24"/>
          <w:szCs w:val="24"/>
        </w:rPr>
        <w:t>Sustainability</w:t>
      </w:r>
      <w:r w:rsidRPr="001C5E3E">
        <w:rPr>
          <w:rFonts w:ascii="Times New Roman" w:hAnsi="Times New Roman" w:cs="Times New Roman"/>
          <w:sz w:val="24"/>
          <w:szCs w:val="24"/>
        </w:rPr>
        <w:t xml:space="preserve">, 16(11): 4743. </w:t>
      </w:r>
      <w:hyperlink r:id="rId8" w:tgtFrame="_new" w:history="1">
        <w:r w:rsidRPr="001C5E3E">
          <w:rPr>
            <w:rStyle w:val="Hyperlink"/>
            <w:rFonts w:ascii="Times New Roman" w:hAnsi="Times New Roman" w:cs="Times New Roman"/>
            <w:sz w:val="24"/>
            <w:szCs w:val="24"/>
          </w:rPr>
          <w:t>https://doi.org/10.3390/su16114743</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Bahadurzada</w:t>
      </w:r>
      <w:proofErr w:type="spellEnd"/>
      <w:r w:rsidRPr="001C5E3E">
        <w:rPr>
          <w:rFonts w:ascii="Times New Roman" w:hAnsi="Times New Roman" w:cs="Times New Roman"/>
          <w:sz w:val="24"/>
          <w:szCs w:val="24"/>
        </w:rPr>
        <w:t xml:space="preserve">, H., Edmondson, A. &amp; </w:t>
      </w:r>
      <w:proofErr w:type="spellStart"/>
      <w:r w:rsidRPr="001C5E3E">
        <w:rPr>
          <w:rFonts w:ascii="Times New Roman" w:hAnsi="Times New Roman" w:cs="Times New Roman"/>
          <w:sz w:val="24"/>
          <w:szCs w:val="24"/>
        </w:rPr>
        <w:t>Kerrissey</w:t>
      </w:r>
      <w:proofErr w:type="spellEnd"/>
      <w:r w:rsidRPr="001C5E3E">
        <w:rPr>
          <w:rFonts w:ascii="Times New Roman" w:hAnsi="Times New Roman" w:cs="Times New Roman"/>
          <w:sz w:val="24"/>
          <w:szCs w:val="24"/>
        </w:rPr>
        <w:t xml:space="preserve">, M. 2024. Psychological Safety as an Enduring Resource </w:t>
      </w:r>
      <w:proofErr w:type="gramStart"/>
      <w:r w:rsidRPr="001C5E3E">
        <w:rPr>
          <w:rFonts w:ascii="Times New Roman" w:hAnsi="Times New Roman" w:cs="Times New Roman"/>
          <w:sz w:val="24"/>
          <w:szCs w:val="24"/>
        </w:rPr>
        <w:t>Amid</w:t>
      </w:r>
      <w:proofErr w:type="gramEnd"/>
      <w:r w:rsidRPr="001C5E3E">
        <w:rPr>
          <w:rFonts w:ascii="Times New Roman" w:hAnsi="Times New Roman" w:cs="Times New Roman"/>
          <w:sz w:val="24"/>
          <w:szCs w:val="24"/>
        </w:rPr>
        <w:t xml:space="preserve"> Constraints. </w:t>
      </w:r>
      <w:r w:rsidRPr="001C5E3E">
        <w:rPr>
          <w:rFonts w:ascii="Times New Roman" w:hAnsi="Times New Roman" w:cs="Times New Roman"/>
          <w:i/>
          <w:iCs/>
          <w:sz w:val="24"/>
          <w:szCs w:val="24"/>
        </w:rPr>
        <w:t>International Journal of Public Health</w:t>
      </w:r>
      <w:r w:rsidRPr="001C5E3E">
        <w:rPr>
          <w:rFonts w:ascii="Times New Roman" w:hAnsi="Times New Roman" w:cs="Times New Roman"/>
          <w:sz w:val="24"/>
          <w:szCs w:val="24"/>
        </w:rPr>
        <w:t xml:space="preserve">, 69: 1607332. </w:t>
      </w:r>
      <w:hyperlink r:id="rId9" w:tgtFrame="_new" w:history="1">
        <w:r w:rsidRPr="001C5E3E">
          <w:rPr>
            <w:rStyle w:val="Hyperlink"/>
            <w:rFonts w:ascii="Times New Roman" w:hAnsi="Times New Roman" w:cs="Times New Roman"/>
            <w:sz w:val="24"/>
            <w:szCs w:val="24"/>
          </w:rPr>
          <w:t>https://doi.org/10.3389/ijph.2024.1607332</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Bruzzone</w:t>
      </w:r>
      <w:proofErr w:type="spellEnd"/>
      <w:r w:rsidRPr="001C5E3E">
        <w:rPr>
          <w:rFonts w:ascii="Times New Roman" w:hAnsi="Times New Roman" w:cs="Times New Roman"/>
          <w:sz w:val="24"/>
          <w:szCs w:val="24"/>
        </w:rPr>
        <w:t xml:space="preserve">, S. &amp; </w:t>
      </w:r>
      <w:proofErr w:type="spellStart"/>
      <w:r w:rsidRPr="001C5E3E">
        <w:rPr>
          <w:rFonts w:ascii="Times New Roman" w:hAnsi="Times New Roman" w:cs="Times New Roman"/>
          <w:sz w:val="24"/>
          <w:szCs w:val="24"/>
        </w:rPr>
        <w:t>Crevani</w:t>
      </w:r>
      <w:proofErr w:type="spellEnd"/>
      <w:r w:rsidRPr="001C5E3E">
        <w:rPr>
          <w:rFonts w:ascii="Times New Roman" w:hAnsi="Times New Roman" w:cs="Times New Roman"/>
          <w:sz w:val="24"/>
          <w:szCs w:val="24"/>
        </w:rPr>
        <w:t xml:space="preserve">, L. 2022. Supporting and Studying Organizational Change for Introducing Welfare Technologies as a </w:t>
      </w:r>
      <w:proofErr w:type="spellStart"/>
      <w:r w:rsidRPr="001C5E3E">
        <w:rPr>
          <w:rFonts w:ascii="Times New Roman" w:hAnsi="Times New Roman" w:cs="Times New Roman"/>
          <w:sz w:val="24"/>
          <w:szCs w:val="24"/>
        </w:rPr>
        <w:t>Sociomaterial</w:t>
      </w:r>
      <w:proofErr w:type="spellEnd"/>
      <w:r w:rsidRPr="001C5E3E">
        <w:rPr>
          <w:rFonts w:ascii="Times New Roman" w:hAnsi="Times New Roman" w:cs="Times New Roman"/>
          <w:sz w:val="24"/>
          <w:szCs w:val="24"/>
        </w:rPr>
        <w:t xml:space="preserve"> Process.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787223. </w:t>
      </w:r>
      <w:hyperlink r:id="rId10" w:tgtFrame="_new" w:history="1">
        <w:r w:rsidRPr="001C5E3E">
          <w:rPr>
            <w:rStyle w:val="Hyperlink"/>
            <w:rFonts w:ascii="Times New Roman" w:hAnsi="Times New Roman" w:cs="Times New Roman"/>
            <w:sz w:val="24"/>
            <w:szCs w:val="24"/>
          </w:rPr>
          <w:t>https://doi.org/10.3389/fpsyg.2022.787223</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t xml:space="preserve">Cunningham, C., </w:t>
      </w:r>
      <w:proofErr w:type="spellStart"/>
      <w:r w:rsidRPr="001C5E3E">
        <w:rPr>
          <w:rFonts w:ascii="Times New Roman" w:hAnsi="Times New Roman" w:cs="Times New Roman"/>
          <w:sz w:val="24"/>
          <w:szCs w:val="24"/>
        </w:rPr>
        <w:t>Vosloo</w:t>
      </w:r>
      <w:proofErr w:type="spellEnd"/>
      <w:r w:rsidRPr="001C5E3E">
        <w:rPr>
          <w:rFonts w:ascii="Times New Roman" w:hAnsi="Times New Roman" w:cs="Times New Roman"/>
          <w:sz w:val="24"/>
          <w:szCs w:val="24"/>
        </w:rPr>
        <w:t xml:space="preserve">, M. &amp; Wallis, L.A. 2023. </w:t>
      </w:r>
      <w:proofErr w:type="spellStart"/>
      <w:r w:rsidRPr="001C5E3E">
        <w:rPr>
          <w:rFonts w:ascii="Times New Roman" w:hAnsi="Times New Roman" w:cs="Times New Roman"/>
          <w:sz w:val="24"/>
          <w:szCs w:val="24"/>
        </w:rPr>
        <w:t>Interprofessional</w:t>
      </w:r>
      <w:proofErr w:type="spellEnd"/>
      <w:r w:rsidRPr="001C5E3E">
        <w:rPr>
          <w:rFonts w:ascii="Times New Roman" w:hAnsi="Times New Roman" w:cs="Times New Roman"/>
          <w:sz w:val="24"/>
          <w:szCs w:val="24"/>
        </w:rPr>
        <w:t xml:space="preserve"> sense making in the emergency department: A </w:t>
      </w:r>
      <w:proofErr w:type="spellStart"/>
      <w:r w:rsidRPr="001C5E3E">
        <w:rPr>
          <w:rFonts w:ascii="Times New Roman" w:hAnsi="Times New Roman" w:cs="Times New Roman"/>
          <w:sz w:val="24"/>
          <w:szCs w:val="24"/>
        </w:rPr>
        <w:t>SenseMaker</w:t>
      </w:r>
      <w:proofErr w:type="spellEnd"/>
      <w:r w:rsidRPr="001C5E3E">
        <w:rPr>
          <w:rFonts w:ascii="Times New Roman" w:hAnsi="Times New Roman" w:cs="Times New Roman"/>
          <w:sz w:val="24"/>
          <w:szCs w:val="24"/>
        </w:rPr>
        <w:t xml:space="preserve"> study. </w:t>
      </w:r>
      <w:r w:rsidRPr="001C5E3E">
        <w:rPr>
          <w:rFonts w:ascii="Times New Roman" w:hAnsi="Times New Roman" w:cs="Times New Roman"/>
          <w:i/>
          <w:iCs/>
          <w:sz w:val="24"/>
          <w:szCs w:val="24"/>
        </w:rPr>
        <w:t>PLOS ONE</w:t>
      </w:r>
      <w:r w:rsidRPr="001C5E3E">
        <w:rPr>
          <w:rFonts w:ascii="Times New Roman" w:hAnsi="Times New Roman" w:cs="Times New Roman"/>
          <w:sz w:val="24"/>
          <w:szCs w:val="24"/>
        </w:rPr>
        <w:t xml:space="preserve">, 18(3): e0282307. </w:t>
      </w:r>
      <w:hyperlink r:id="rId11" w:tgtFrame="_new" w:history="1">
        <w:r w:rsidRPr="001C5E3E">
          <w:rPr>
            <w:rStyle w:val="Hyperlink"/>
            <w:rFonts w:ascii="Times New Roman" w:hAnsi="Times New Roman" w:cs="Times New Roman"/>
            <w:sz w:val="24"/>
            <w:szCs w:val="24"/>
          </w:rPr>
          <w:t>https://doi.org/10.1371/journal.pone.0282307</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Henderikx</w:t>
      </w:r>
      <w:proofErr w:type="spellEnd"/>
      <w:r w:rsidRPr="001C5E3E">
        <w:rPr>
          <w:rFonts w:ascii="Times New Roman" w:hAnsi="Times New Roman" w:cs="Times New Roman"/>
          <w:sz w:val="24"/>
          <w:szCs w:val="24"/>
        </w:rPr>
        <w:t xml:space="preserve">, M. &amp; </w:t>
      </w:r>
      <w:proofErr w:type="spellStart"/>
      <w:r w:rsidRPr="001C5E3E">
        <w:rPr>
          <w:rFonts w:ascii="Times New Roman" w:hAnsi="Times New Roman" w:cs="Times New Roman"/>
          <w:sz w:val="24"/>
          <w:szCs w:val="24"/>
        </w:rPr>
        <w:t>Stoffers</w:t>
      </w:r>
      <w:proofErr w:type="spellEnd"/>
      <w:r w:rsidRPr="001C5E3E">
        <w:rPr>
          <w:rFonts w:ascii="Times New Roman" w:hAnsi="Times New Roman" w:cs="Times New Roman"/>
          <w:sz w:val="24"/>
          <w:szCs w:val="24"/>
        </w:rPr>
        <w:t xml:space="preserve">, J. 2023. Digital transformation and middle managers’ leadership skills and behavior: a group concept mapping approach.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14: 1147002. </w:t>
      </w:r>
      <w:hyperlink r:id="rId12" w:tgtFrame="_new" w:history="1">
        <w:r w:rsidRPr="001C5E3E">
          <w:rPr>
            <w:rStyle w:val="Hyperlink"/>
            <w:rFonts w:ascii="Times New Roman" w:hAnsi="Times New Roman" w:cs="Times New Roman"/>
            <w:sz w:val="24"/>
            <w:szCs w:val="24"/>
          </w:rPr>
          <w:t>https://doi.org/10.3389/fpsyg.2023.1147002</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t xml:space="preserve">Huang, Z., </w:t>
      </w:r>
      <w:proofErr w:type="spellStart"/>
      <w:r w:rsidRPr="001C5E3E">
        <w:rPr>
          <w:rFonts w:ascii="Times New Roman" w:hAnsi="Times New Roman" w:cs="Times New Roman"/>
          <w:sz w:val="24"/>
          <w:szCs w:val="24"/>
        </w:rPr>
        <w:t>Sindakis</w:t>
      </w:r>
      <w:proofErr w:type="spellEnd"/>
      <w:r w:rsidRPr="001C5E3E">
        <w:rPr>
          <w:rFonts w:ascii="Times New Roman" w:hAnsi="Times New Roman" w:cs="Times New Roman"/>
          <w:sz w:val="24"/>
          <w:szCs w:val="24"/>
        </w:rPr>
        <w:t xml:space="preserve">, S., Aggarwal, S. &amp; Thomas, L. 2022. The role of leadership in collective creativity and innovation: Examining academic research and development environments.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1060412. </w:t>
      </w:r>
      <w:hyperlink r:id="rId13" w:tgtFrame="_new" w:history="1">
        <w:r w:rsidRPr="001C5E3E">
          <w:rPr>
            <w:rStyle w:val="Hyperlink"/>
            <w:rFonts w:ascii="Times New Roman" w:hAnsi="Times New Roman" w:cs="Times New Roman"/>
            <w:sz w:val="24"/>
            <w:szCs w:val="24"/>
          </w:rPr>
          <w:t>https://doi.org/10.3389/fpsyg.2022.1060412</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lastRenderedPageBreak/>
        <w:t>Huflejt</w:t>
      </w:r>
      <w:proofErr w:type="spellEnd"/>
      <w:r w:rsidRPr="001C5E3E">
        <w:rPr>
          <w:rFonts w:ascii="Times New Roman" w:hAnsi="Times New Roman" w:cs="Times New Roman"/>
          <w:sz w:val="24"/>
          <w:szCs w:val="24"/>
        </w:rPr>
        <w:t xml:space="preserve"> </w:t>
      </w:r>
      <w:proofErr w:type="spellStart"/>
      <w:r w:rsidRPr="001C5E3E">
        <w:rPr>
          <w:rFonts w:ascii="Times New Roman" w:hAnsi="Times New Roman" w:cs="Times New Roman"/>
          <w:sz w:val="24"/>
          <w:szCs w:val="24"/>
        </w:rPr>
        <w:t>Łukasik</w:t>
      </w:r>
      <w:proofErr w:type="spellEnd"/>
      <w:r w:rsidRPr="001C5E3E">
        <w:rPr>
          <w:rFonts w:ascii="Times New Roman" w:hAnsi="Times New Roman" w:cs="Times New Roman"/>
          <w:sz w:val="24"/>
          <w:szCs w:val="24"/>
        </w:rPr>
        <w:t xml:space="preserve">, M., </w:t>
      </w:r>
      <w:proofErr w:type="spellStart"/>
      <w:r w:rsidRPr="001C5E3E">
        <w:rPr>
          <w:rFonts w:ascii="Times New Roman" w:hAnsi="Times New Roman" w:cs="Times New Roman"/>
          <w:sz w:val="24"/>
          <w:szCs w:val="24"/>
        </w:rPr>
        <w:t>Jędrzejczyk</w:t>
      </w:r>
      <w:proofErr w:type="spellEnd"/>
      <w:r w:rsidRPr="001C5E3E">
        <w:rPr>
          <w:rFonts w:ascii="Times New Roman" w:hAnsi="Times New Roman" w:cs="Times New Roman"/>
          <w:sz w:val="24"/>
          <w:szCs w:val="24"/>
        </w:rPr>
        <w:t xml:space="preserve">, J. &amp; </w:t>
      </w:r>
      <w:proofErr w:type="spellStart"/>
      <w:r w:rsidRPr="001C5E3E">
        <w:rPr>
          <w:rFonts w:ascii="Times New Roman" w:hAnsi="Times New Roman" w:cs="Times New Roman"/>
          <w:sz w:val="24"/>
          <w:szCs w:val="24"/>
        </w:rPr>
        <w:t>Podlaś</w:t>
      </w:r>
      <w:proofErr w:type="spellEnd"/>
      <w:r w:rsidRPr="001C5E3E">
        <w:rPr>
          <w:rFonts w:ascii="Times New Roman" w:hAnsi="Times New Roman" w:cs="Times New Roman"/>
          <w:sz w:val="24"/>
          <w:szCs w:val="24"/>
        </w:rPr>
        <w:t xml:space="preserve">, P. 2022. Coaching as a Buffer for </w:t>
      </w:r>
      <w:proofErr w:type="spellStart"/>
      <w:r w:rsidRPr="001C5E3E">
        <w:rPr>
          <w:rFonts w:ascii="Times New Roman" w:hAnsi="Times New Roman" w:cs="Times New Roman"/>
          <w:sz w:val="24"/>
          <w:szCs w:val="24"/>
        </w:rPr>
        <w:t>Organisational</w:t>
      </w:r>
      <w:proofErr w:type="spellEnd"/>
      <w:r w:rsidRPr="001C5E3E">
        <w:rPr>
          <w:rFonts w:ascii="Times New Roman" w:hAnsi="Times New Roman" w:cs="Times New Roman"/>
          <w:sz w:val="24"/>
          <w:szCs w:val="24"/>
        </w:rPr>
        <w:t xml:space="preserve"> Change.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841804. </w:t>
      </w:r>
      <w:hyperlink r:id="rId14" w:tgtFrame="_new" w:history="1">
        <w:r w:rsidRPr="001C5E3E">
          <w:rPr>
            <w:rStyle w:val="Hyperlink"/>
            <w:rFonts w:ascii="Times New Roman" w:hAnsi="Times New Roman" w:cs="Times New Roman"/>
            <w:sz w:val="24"/>
            <w:szCs w:val="24"/>
          </w:rPr>
          <w:t>https://doi.org/10.3389/fpsyg.2022.841804</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Jin</w:t>
      </w:r>
      <w:proofErr w:type="spellEnd"/>
      <w:r w:rsidRPr="001C5E3E">
        <w:rPr>
          <w:rFonts w:ascii="Times New Roman" w:hAnsi="Times New Roman" w:cs="Times New Roman"/>
          <w:sz w:val="24"/>
          <w:szCs w:val="24"/>
        </w:rPr>
        <w:t xml:space="preserve">, H. &amp; Peng, Y. 2024. The impact of team psychological safety on employee innovative performance: a study with communication behavior as a mediator variable. </w:t>
      </w:r>
      <w:r w:rsidRPr="001C5E3E">
        <w:rPr>
          <w:rFonts w:ascii="Times New Roman" w:hAnsi="Times New Roman" w:cs="Times New Roman"/>
          <w:i/>
          <w:iCs/>
          <w:sz w:val="24"/>
          <w:szCs w:val="24"/>
        </w:rPr>
        <w:t>PLOS ONE</w:t>
      </w:r>
      <w:r w:rsidRPr="001C5E3E">
        <w:rPr>
          <w:rFonts w:ascii="Times New Roman" w:hAnsi="Times New Roman" w:cs="Times New Roman"/>
          <w:sz w:val="24"/>
          <w:szCs w:val="24"/>
        </w:rPr>
        <w:t xml:space="preserve">, 19(10): e0306629. </w:t>
      </w:r>
      <w:hyperlink r:id="rId15" w:tgtFrame="_new" w:history="1">
        <w:r w:rsidRPr="001C5E3E">
          <w:rPr>
            <w:rStyle w:val="Hyperlink"/>
            <w:rFonts w:ascii="Times New Roman" w:hAnsi="Times New Roman" w:cs="Times New Roman"/>
            <w:sz w:val="24"/>
            <w:szCs w:val="24"/>
          </w:rPr>
          <w:t>https://doi.org/10.1371/journal.pone.0306629</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t xml:space="preserve">Jones, M.S., Cravens, A.E., </w:t>
      </w:r>
      <w:proofErr w:type="spellStart"/>
      <w:r w:rsidRPr="001C5E3E">
        <w:rPr>
          <w:rFonts w:ascii="Times New Roman" w:hAnsi="Times New Roman" w:cs="Times New Roman"/>
          <w:sz w:val="24"/>
          <w:szCs w:val="24"/>
        </w:rPr>
        <w:t>Zarestky</w:t>
      </w:r>
      <w:proofErr w:type="spellEnd"/>
      <w:r w:rsidRPr="001C5E3E">
        <w:rPr>
          <w:rFonts w:ascii="Times New Roman" w:hAnsi="Times New Roman" w:cs="Times New Roman"/>
          <w:sz w:val="24"/>
          <w:szCs w:val="24"/>
        </w:rPr>
        <w:t xml:space="preserve">, J., Ngai, C. &amp; Love, H.B. 2024. Facilitating psychological safety in science and research teams. </w:t>
      </w:r>
      <w:r w:rsidRPr="001C5E3E">
        <w:rPr>
          <w:rFonts w:ascii="Times New Roman" w:hAnsi="Times New Roman" w:cs="Times New Roman"/>
          <w:i/>
          <w:iCs/>
          <w:sz w:val="24"/>
          <w:szCs w:val="24"/>
        </w:rPr>
        <w:t>Humanities &amp; Social Sciences Communications</w:t>
      </w:r>
      <w:r w:rsidRPr="001C5E3E">
        <w:rPr>
          <w:rFonts w:ascii="Times New Roman" w:hAnsi="Times New Roman" w:cs="Times New Roman"/>
          <w:sz w:val="24"/>
          <w:szCs w:val="24"/>
        </w:rPr>
        <w:t xml:space="preserve">, 11: 1632. </w:t>
      </w:r>
      <w:hyperlink r:id="rId16" w:tgtFrame="_new" w:history="1">
        <w:r w:rsidRPr="001C5E3E">
          <w:rPr>
            <w:rStyle w:val="Hyperlink"/>
            <w:rFonts w:ascii="Times New Roman" w:hAnsi="Times New Roman" w:cs="Times New Roman"/>
            <w:sz w:val="24"/>
            <w:szCs w:val="24"/>
          </w:rPr>
          <w:t>https://doi.org/10.1057/s41599-024-04037-7</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Makowska</w:t>
      </w:r>
      <w:proofErr w:type="spellEnd"/>
      <w:r w:rsidRPr="001C5E3E">
        <w:rPr>
          <w:rFonts w:ascii="Times New Roman" w:hAnsi="Times New Roman" w:cs="Times New Roman"/>
          <w:sz w:val="24"/>
          <w:szCs w:val="24"/>
        </w:rPr>
        <w:t xml:space="preserve"> </w:t>
      </w:r>
      <w:proofErr w:type="spellStart"/>
      <w:r w:rsidRPr="001C5E3E">
        <w:rPr>
          <w:rFonts w:ascii="Times New Roman" w:hAnsi="Times New Roman" w:cs="Times New Roman"/>
          <w:sz w:val="24"/>
          <w:szCs w:val="24"/>
        </w:rPr>
        <w:t>Tłomak</w:t>
      </w:r>
      <w:proofErr w:type="spellEnd"/>
      <w:r w:rsidRPr="001C5E3E">
        <w:rPr>
          <w:rFonts w:ascii="Times New Roman" w:hAnsi="Times New Roman" w:cs="Times New Roman"/>
          <w:sz w:val="24"/>
          <w:szCs w:val="24"/>
        </w:rPr>
        <w:t xml:space="preserve">, E., </w:t>
      </w:r>
      <w:proofErr w:type="spellStart"/>
      <w:r w:rsidRPr="001C5E3E">
        <w:rPr>
          <w:rFonts w:ascii="Times New Roman" w:hAnsi="Times New Roman" w:cs="Times New Roman"/>
          <w:sz w:val="24"/>
          <w:szCs w:val="24"/>
        </w:rPr>
        <w:t>Bedyńska</w:t>
      </w:r>
      <w:proofErr w:type="spellEnd"/>
      <w:r w:rsidRPr="001C5E3E">
        <w:rPr>
          <w:rFonts w:ascii="Times New Roman" w:hAnsi="Times New Roman" w:cs="Times New Roman"/>
          <w:sz w:val="24"/>
          <w:szCs w:val="24"/>
        </w:rPr>
        <w:t xml:space="preserve">, S., </w:t>
      </w:r>
      <w:proofErr w:type="spellStart"/>
      <w:r w:rsidRPr="001C5E3E">
        <w:rPr>
          <w:rFonts w:ascii="Times New Roman" w:hAnsi="Times New Roman" w:cs="Times New Roman"/>
          <w:sz w:val="24"/>
          <w:szCs w:val="24"/>
        </w:rPr>
        <w:t>Skorupska</w:t>
      </w:r>
      <w:proofErr w:type="spellEnd"/>
      <w:r w:rsidRPr="001C5E3E">
        <w:rPr>
          <w:rFonts w:ascii="Times New Roman" w:hAnsi="Times New Roman" w:cs="Times New Roman"/>
          <w:sz w:val="24"/>
          <w:szCs w:val="24"/>
        </w:rPr>
        <w:t xml:space="preserve">, K., </w:t>
      </w:r>
      <w:proofErr w:type="spellStart"/>
      <w:r w:rsidRPr="001C5E3E">
        <w:rPr>
          <w:rFonts w:ascii="Times New Roman" w:hAnsi="Times New Roman" w:cs="Times New Roman"/>
          <w:sz w:val="24"/>
          <w:szCs w:val="24"/>
        </w:rPr>
        <w:t>Nielek</w:t>
      </w:r>
      <w:proofErr w:type="spellEnd"/>
      <w:r w:rsidRPr="001C5E3E">
        <w:rPr>
          <w:rFonts w:ascii="Times New Roman" w:hAnsi="Times New Roman" w:cs="Times New Roman"/>
          <w:sz w:val="24"/>
          <w:szCs w:val="24"/>
        </w:rPr>
        <w:t xml:space="preserve">, R., </w:t>
      </w:r>
      <w:proofErr w:type="spellStart"/>
      <w:r w:rsidRPr="001C5E3E">
        <w:rPr>
          <w:rFonts w:ascii="Times New Roman" w:hAnsi="Times New Roman" w:cs="Times New Roman"/>
          <w:sz w:val="24"/>
          <w:szCs w:val="24"/>
        </w:rPr>
        <w:t>Kornacka</w:t>
      </w:r>
      <w:proofErr w:type="spellEnd"/>
      <w:r w:rsidRPr="001C5E3E">
        <w:rPr>
          <w:rFonts w:ascii="Times New Roman" w:hAnsi="Times New Roman" w:cs="Times New Roman"/>
          <w:sz w:val="24"/>
          <w:szCs w:val="24"/>
        </w:rPr>
        <w:t xml:space="preserve">, M. &amp; </w:t>
      </w:r>
      <w:proofErr w:type="spellStart"/>
      <w:r w:rsidRPr="001C5E3E">
        <w:rPr>
          <w:rFonts w:ascii="Times New Roman" w:hAnsi="Times New Roman" w:cs="Times New Roman"/>
          <w:sz w:val="24"/>
          <w:szCs w:val="24"/>
        </w:rPr>
        <w:t>Kopeć</w:t>
      </w:r>
      <w:proofErr w:type="spellEnd"/>
      <w:r w:rsidRPr="001C5E3E">
        <w:rPr>
          <w:rFonts w:ascii="Times New Roman" w:hAnsi="Times New Roman" w:cs="Times New Roman"/>
          <w:sz w:val="24"/>
          <w:szCs w:val="24"/>
        </w:rPr>
        <w:t xml:space="preserve">, W. 2023. Measuring digital transformation stress at the workplace: Development and validation of the digital transformation stress scale. </w:t>
      </w:r>
      <w:r w:rsidRPr="001C5E3E">
        <w:rPr>
          <w:rFonts w:ascii="Times New Roman" w:hAnsi="Times New Roman" w:cs="Times New Roman"/>
          <w:i/>
          <w:iCs/>
          <w:sz w:val="24"/>
          <w:szCs w:val="24"/>
        </w:rPr>
        <w:t>PLOS ONE</w:t>
      </w:r>
      <w:r w:rsidRPr="001C5E3E">
        <w:rPr>
          <w:rFonts w:ascii="Times New Roman" w:hAnsi="Times New Roman" w:cs="Times New Roman"/>
          <w:sz w:val="24"/>
          <w:szCs w:val="24"/>
        </w:rPr>
        <w:t xml:space="preserve">, 18(10): e0287223. </w:t>
      </w:r>
      <w:hyperlink r:id="rId17" w:tgtFrame="_new" w:history="1">
        <w:r w:rsidRPr="001C5E3E">
          <w:rPr>
            <w:rStyle w:val="Hyperlink"/>
            <w:rFonts w:ascii="Times New Roman" w:hAnsi="Times New Roman" w:cs="Times New Roman"/>
            <w:sz w:val="24"/>
            <w:szCs w:val="24"/>
          </w:rPr>
          <w:t>https://doi.org/10.1371/journal.pone.0287223</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Mutambik</w:t>
      </w:r>
      <w:proofErr w:type="spellEnd"/>
      <w:r w:rsidRPr="001C5E3E">
        <w:rPr>
          <w:rFonts w:ascii="Times New Roman" w:hAnsi="Times New Roman" w:cs="Times New Roman"/>
          <w:sz w:val="24"/>
          <w:szCs w:val="24"/>
        </w:rPr>
        <w:t xml:space="preserve">, I. &amp; </w:t>
      </w:r>
      <w:proofErr w:type="spellStart"/>
      <w:r w:rsidRPr="001C5E3E">
        <w:rPr>
          <w:rFonts w:ascii="Times New Roman" w:hAnsi="Times New Roman" w:cs="Times New Roman"/>
          <w:sz w:val="24"/>
          <w:szCs w:val="24"/>
        </w:rPr>
        <w:t>Almuqrin</w:t>
      </w:r>
      <w:proofErr w:type="spellEnd"/>
      <w:r w:rsidRPr="001C5E3E">
        <w:rPr>
          <w:rFonts w:ascii="Times New Roman" w:hAnsi="Times New Roman" w:cs="Times New Roman"/>
          <w:sz w:val="24"/>
          <w:szCs w:val="24"/>
        </w:rPr>
        <w:t xml:space="preserve">, A. 2024. Employee Acceptance of Digital Transformation: A Study in a Smart City Context. </w:t>
      </w:r>
      <w:r w:rsidRPr="001C5E3E">
        <w:rPr>
          <w:rFonts w:ascii="Times New Roman" w:hAnsi="Times New Roman" w:cs="Times New Roman"/>
          <w:i/>
          <w:iCs/>
          <w:sz w:val="24"/>
          <w:szCs w:val="24"/>
        </w:rPr>
        <w:t>Sustainability</w:t>
      </w:r>
      <w:r w:rsidRPr="001C5E3E">
        <w:rPr>
          <w:rFonts w:ascii="Times New Roman" w:hAnsi="Times New Roman" w:cs="Times New Roman"/>
          <w:sz w:val="24"/>
          <w:szCs w:val="24"/>
        </w:rPr>
        <w:t xml:space="preserve">, 16(4): 1398. </w:t>
      </w:r>
      <w:hyperlink r:id="rId18" w:tgtFrame="_new" w:history="1">
        <w:r w:rsidRPr="001C5E3E">
          <w:rPr>
            <w:rStyle w:val="Hyperlink"/>
            <w:rFonts w:ascii="Times New Roman" w:hAnsi="Times New Roman" w:cs="Times New Roman"/>
            <w:sz w:val="24"/>
            <w:szCs w:val="24"/>
          </w:rPr>
          <w:t>https://doi.org/10.3390/su16041398</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Vrhovac</w:t>
      </w:r>
      <w:proofErr w:type="spellEnd"/>
      <w:r w:rsidRPr="001C5E3E">
        <w:rPr>
          <w:rFonts w:ascii="Times New Roman" w:hAnsi="Times New Roman" w:cs="Times New Roman"/>
          <w:sz w:val="24"/>
          <w:szCs w:val="24"/>
        </w:rPr>
        <w:t xml:space="preserve">, V., </w:t>
      </w:r>
      <w:proofErr w:type="spellStart"/>
      <w:r w:rsidRPr="001C5E3E">
        <w:rPr>
          <w:rFonts w:ascii="Times New Roman" w:hAnsi="Times New Roman" w:cs="Times New Roman"/>
          <w:sz w:val="24"/>
          <w:szCs w:val="24"/>
        </w:rPr>
        <w:t>Dakić</w:t>
      </w:r>
      <w:proofErr w:type="spellEnd"/>
      <w:r w:rsidRPr="001C5E3E">
        <w:rPr>
          <w:rFonts w:ascii="Times New Roman" w:hAnsi="Times New Roman" w:cs="Times New Roman"/>
          <w:sz w:val="24"/>
          <w:szCs w:val="24"/>
        </w:rPr>
        <w:t xml:space="preserve">, D., </w:t>
      </w:r>
      <w:proofErr w:type="spellStart"/>
      <w:r w:rsidRPr="001C5E3E">
        <w:rPr>
          <w:rFonts w:ascii="Times New Roman" w:hAnsi="Times New Roman" w:cs="Times New Roman"/>
          <w:sz w:val="24"/>
          <w:szCs w:val="24"/>
        </w:rPr>
        <w:t>Milisavljević</w:t>
      </w:r>
      <w:proofErr w:type="spellEnd"/>
      <w:r w:rsidRPr="001C5E3E">
        <w:rPr>
          <w:rFonts w:ascii="Times New Roman" w:hAnsi="Times New Roman" w:cs="Times New Roman"/>
          <w:sz w:val="24"/>
          <w:szCs w:val="24"/>
        </w:rPr>
        <w:t xml:space="preserve">, S., </w:t>
      </w:r>
      <w:proofErr w:type="spellStart"/>
      <w:r w:rsidRPr="001C5E3E">
        <w:rPr>
          <w:rFonts w:ascii="Times New Roman" w:hAnsi="Times New Roman" w:cs="Times New Roman"/>
          <w:sz w:val="24"/>
          <w:szCs w:val="24"/>
        </w:rPr>
        <w:t>Celić</w:t>
      </w:r>
      <w:proofErr w:type="spellEnd"/>
      <w:r w:rsidRPr="001C5E3E">
        <w:rPr>
          <w:rFonts w:ascii="Times New Roman" w:hAnsi="Times New Roman" w:cs="Times New Roman"/>
          <w:sz w:val="24"/>
          <w:szCs w:val="24"/>
        </w:rPr>
        <w:t xml:space="preserve">, Đ., </w:t>
      </w:r>
      <w:proofErr w:type="spellStart"/>
      <w:r w:rsidRPr="001C5E3E">
        <w:rPr>
          <w:rFonts w:ascii="Times New Roman" w:hAnsi="Times New Roman" w:cs="Times New Roman"/>
          <w:sz w:val="24"/>
          <w:szCs w:val="24"/>
        </w:rPr>
        <w:t>Stefanović</w:t>
      </w:r>
      <w:proofErr w:type="spellEnd"/>
      <w:r w:rsidRPr="001C5E3E">
        <w:rPr>
          <w:rFonts w:ascii="Times New Roman" w:hAnsi="Times New Roman" w:cs="Times New Roman"/>
          <w:sz w:val="24"/>
          <w:szCs w:val="24"/>
        </w:rPr>
        <w:t xml:space="preserve">, D. &amp; </w:t>
      </w:r>
      <w:proofErr w:type="spellStart"/>
      <w:r w:rsidRPr="001C5E3E">
        <w:rPr>
          <w:rFonts w:ascii="Times New Roman" w:hAnsi="Times New Roman" w:cs="Times New Roman"/>
          <w:sz w:val="24"/>
          <w:szCs w:val="24"/>
        </w:rPr>
        <w:t>Janković</w:t>
      </w:r>
      <w:proofErr w:type="spellEnd"/>
      <w:r w:rsidRPr="001C5E3E">
        <w:rPr>
          <w:rFonts w:ascii="Times New Roman" w:hAnsi="Times New Roman" w:cs="Times New Roman"/>
          <w:sz w:val="24"/>
          <w:szCs w:val="24"/>
        </w:rPr>
        <w:t xml:space="preserve">, M. 2024. The Factors Influencing User Satisfaction in Last Mile Delivery: The Structural Equation Modeling Approach. </w:t>
      </w:r>
      <w:r w:rsidRPr="001C5E3E">
        <w:rPr>
          <w:rFonts w:ascii="Times New Roman" w:hAnsi="Times New Roman" w:cs="Times New Roman"/>
          <w:i/>
          <w:iCs/>
          <w:sz w:val="24"/>
          <w:szCs w:val="24"/>
        </w:rPr>
        <w:t>Mathematics</w:t>
      </w:r>
      <w:r w:rsidRPr="001C5E3E">
        <w:rPr>
          <w:rFonts w:ascii="Times New Roman" w:hAnsi="Times New Roman" w:cs="Times New Roman"/>
          <w:sz w:val="24"/>
          <w:szCs w:val="24"/>
        </w:rPr>
        <w:t xml:space="preserve">, 12(12): 1857. </w:t>
      </w:r>
      <w:hyperlink r:id="rId19" w:tgtFrame="_new" w:history="1">
        <w:r w:rsidRPr="001C5E3E">
          <w:rPr>
            <w:rStyle w:val="Hyperlink"/>
            <w:rFonts w:ascii="Times New Roman" w:hAnsi="Times New Roman" w:cs="Times New Roman"/>
            <w:sz w:val="24"/>
            <w:szCs w:val="24"/>
          </w:rPr>
          <w:t>https://doi.org/10.3390/math12121857</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Vrhovac</w:t>
      </w:r>
      <w:proofErr w:type="spellEnd"/>
      <w:r w:rsidRPr="001C5E3E">
        <w:rPr>
          <w:rFonts w:ascii="Times New Roman" w:hAnsi="Times New Roman" w:cs="Times New Roman"/>
          <w:sz w:val="24"/>
          <w:szCs w:val="24"/>
        </w:rPr>
        <w:t xml:space="preserve">, V., </w:t>
      </w:r>
      <w:proofErr w:type="spellStart"/>
      <w:r w:rsidRPr="001C5E3E">
        <w:rPr>
          <w:rFonts w:ascii="Times New Roman" w:hAnsi="Times New Roman" w:cs="Times New Roman"/>
          <w:sz w:val="24"/>
          <w:szCs w:val="24"/>
        </w:rPr>
        <w:t>Vasić</w:t>
      </w:r>
      <w:proofErr w:type="spellEnd"/>
      <w:r w:rsidRPr="001C5E3E">
        <w:rPr>
          <w:rFonts w:ascii="Times New Roman" w:hAnsi="Times New Roman" w:cs="Times New Roman"/>
          <w:sz w:val="24"/>
          <w:szCs w:val="24"/>
        </w:rPr>
        <w:t xml:space="preserve">, S., </w:t>
      </w:r>
      <w:proofErr w:type="spellStart"/>
      <w:r w:rsidRPr="001C5E3E">
        <w:rPr>
          <w:rFonts w:ascii="Times New Roman" w:hAnsi="Times New Roman" w:cs="Times New Roman"/>
          <w:sz w:val="24"/>
          <w:szCs w:val="24"/>
        </w:rPr>
        <w:t>Milisavljević</w:t>
      </w:r>
      <w:proofErr w:type="spellEnd"/>
      <w:r w:rsidRPr="001C5E3E">
        <w:rPr>
          <w:rFonts w:ascii="Times New Roman" w:hAnsi="Times New Roman" w:cs="Times New Roman"/>
          <w:sz w:val="24"/>
          <w:szCs w:val="24"/>
        </w:rPr>
        <w:t xml:space="preserve">, S., </w:t>
      </w:r>
      <w:proofErr w:type="spellStart"/>
      <w:r w:rsidRPr="001C5E3E">
        <w:rPr>
          <w:rFonts w:ascii="Times New Roman" w:hAnsi="Times New Roman" w:cs="Times New Roman"/>
          <w:sz w:val="24"/>
          <w:szCs w:val="24"/>
        </w:rPr>
        <w:t>Dudić</w:t>
      </w:r>
      <w:proofErr w:type="spellEnd"/>
      <w:r w:rsidRPr="001C5E3E">
        <w:rPr>
          <w:rFonts w:ascii="Times New Roman" w:hAnsi="Times New Roman" w:cs="Times New Roman"/>
          <w:sz w:val="24"/>
          <w:szCs w:val="24"/>
        </w:rPr>
        <w:t xml:space="preserve">, B., </w:t>
      </w:r>
      <w:proofErr w:type="spellStart"/>
      <w:r w:rsidRPr="001C5E3E">
        <w:rPr>
          <w:rFonts w:ascii="Times New Roman" w:hAnsi="Times New Roman" w:cs="Times New Roman"/>
          <w:sz w:val="24"/>
          <w:szCs w:val="24"/>
        </w:rPr>
        <w:t>Štarchoň</w:t>
      </w:r>
      <w:proofErr w:type="spellEnd"/>
      <w:r w:rsidRPr="001C5E3E">
        <w:rPr>
          <w:rFonts w:ascii="Times New Roman" w:hAnsi="Times New Roman" w:cs="Times New Roman"/>
          <w:sz w:val="24"/>
          <w:szCs w:val="24"/>
        </w:rPr>
        <w:t xml:space="preserve">, P. &amp; </w:t>
      </w:r>
      <w:proofErr w:type="spellStart"/>
      <w:r w:rsidRPr="001C5E3E">
        <w:rPr>
          <w:rFonts w:ascii="Times New Roman" w:hAnsi="Times New Roman" w:cs="Times New Roman"/>
          <w:sz w:val="24"/>
          <w:szCs w:val="24"/>
        </w:rPr>
        <w:t>Žižakov</w:t>
      </w:r>
      <w:proofErr w:type="spellEnd"/>
      <w:r w:rsidRPr="001C5E3E">
        <w:rPr>
          <w:rFonts w:ascii="Times New Roman" w:hAnsi="Times New Roman" w:cs="Times New Roman"/>
          <w:sz w:val="24"/>
          <w:szCs w:val="24"/>
        </w:rPr>
        <w:t xml:space="preserve">, M. 2023. Measuring E Commerce User Experience in the Last Mile Delivery. </w:t>
      </w:r>
      <w:r w:rsidRPr="001C5E3E">
        <w:rPr>
          <w:rFonts w:ascii="Times New Roman" w:hAnsi="Times New Roman" w:cs="Times New Roman"/>
          <w:i/>
          <w:iCs/>
          <w:sz w:val="24"/>
          <w:szCs w:val="24"/>
        </w:rPr>
        <w:t>Mathematics</w:t>
      </w:r>
      <w:r w:rsidRPr="001C5E3E">
        <w:rPr>
          <w:rFonts w:ascii="Times New Roman" w:hAnsi="Times New Roman" w:cs="Times New Roman"/>
          <w:sz w:val="24"/>
          <w:szCs w:val="24"/>
        </w:rPr>
        <w:t xml:space="preserve">, 11(6): 1482. </w:t>
      </w:r>
      <w:hyperlink r:id="rId20" w:tgtFrame="_new" w:history="1">
        <w:r w:rsidRPr="001C5E3E">
          <w:rPr>
            <w:rStyle w:val="Hyperlink"/>
            <w:rFonts w:ascii="Times New Roman" w:hAnsi="Times New Roman" w:cs="Times New Roman"/>
            <w:sz w:val="24"/>
            <w:szCs w:val="24"/>
          </w:rPr>
          <w:t>https://doi.org/10.3390/math11061482</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r w:rsidRPr="001C5E3E">
        <w:rPr>
          <w:rFonts w:ascii="Times New Roman" w:hAnsi="Times New Roman" w:cs="Times New Roman"/>
          <w:sz w:val="24"/>
          <w:szCs w:val="24"/>
        </w:rPr>
        <w:lastRenderedPageBreak/>
        <w:t xml:space="preserve">You, Y., Hu, Z., Li, J., Wang, Y. &amp; Xu, M. 2022. The Effect of Organizational Innovation Climate on Employee Innovative Behavior: The Role of Psychological Ownership and Task Interdependence.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13: 856407. </w:t>
      </w:r>
      <w:hyperlink r:id="rId21" w:tgtFrame="_new" w:history="1">
        <w:r w:rsidRPr="001C5E3E">
          <w:rPr>
            <w:rStyle w:val="Hyperlink"/>
            <w:rFonts w:ascii="Times New Roman" w:hAnsi="Times New Roman" w:cs="Times New Roman"/>
            <w:sz w:val="24"/>
            <w:szCs w:val="24"/>
          </w:rPr>
          <w:t>https://doi.org/10.3389/fpsyg.2022.856407</w:t>
        </w:r>
      </w:hyperlink>
      <w:r w:rsidRPr="001C5E3E">
        <w:rPr>
          <w:rFonts w:ascii="Times New Roman" w:hAnsi="Times New Roman" w:cs="Times New Roman"/>
          <w:sz w:val="24"/>
          <w:szCs w:val="24"/>
        </w:rPr>
        <w:t xml:space="preserve"> 30 April 2026.</w:t>
      </w:r>
    </w:p>
    <w:p w:rsidR="00A05DED" w:rsidRPr="001C5E3E" w:rsidRDefault="00A05DED" w:rsidP="00A05DED">
      <w:pPr>
        <w:spacing w:after="0" w:line="480" w:lineRule="auto"/>
        <w:ind w:left="720" w:hanging="720"/>
        <w:rPr>
          <w:rFonts w:ascii="Times New Roman" w:hAnsi="Times New Roman" w:cs="Times New Roman"/>
          <w:sz w:val="24"/>
          <w:szCs w:val="24"/>
        </w:rPr>
      </w:pPr>
      <w:proofErr w:type="spellStart"/>
      <w:r w:rsidRPr="001C5E3E">
        <w:rPr>
          <w:rFonts w:ascii="Times New Roman" w:hAnsi="Times New Roman" w:cs="Times New Roman"/>
          <w:sz w:val="24"/>
          <w:szCs w:val="24"/>
        </w:rPr>
        <w:t>Zadow</w:t>
      </w:r>
      <w:proofErr w:type="spellEnd"/>
      <w:r w:rsidRPr="001C5E3E">
        <w:rPr>
          <w:rFonts w:ascii="Times New Roman" w:hAnsi="Times New Roman" w:cs="Times New Roman"/>
          <w:sz w:val="24"/>
          <w:szCs w:val="24"/>
        </w:rPr>
        <w:t xml:space="preserve">, A., </w:t>
      </w:r>
      <w:proofErr w:type="spellStart"/>
      <w:r w:rsidRPr="001C5E3E">
        <w:rPr>
          <w:rFonts w:ascii="Times New Roman" w:hAnsi="Times New Roman" w:cs="Times New Roman"/>
          <w:sz w:val="24"/>
          <w:szCs w:val="24"/>
        </w:rPr>
        <w:t>Loh</w:t>
      </w:r>
      <w:proofErr w:type="spellEnd"/>
      <w:r w:rsidRPr="001C5E3E">
        <w:rPr>
          <w:rFonts w:ascii="Times New Roman" w:hAnsi="Times New Roman" w:cs="Times New Roman"/>
          <w:sz w:val="24"/>
          <w:szCs w:val="24"/>
        </w:rPr>
        <w:t xml:space="preserve">, M.Y., Dollard, M.F., </w:t>
      </w:r>
      <w:proofErr w:type="spellStart"/>
      <w:r w:rsidRPr="001C5E3E">
        <w:rPr>
          <w:rFonts w:ascii="Times New Roman" w:hAnsi="Times New Roman" w:cs="Times New Roman"/>
          <w:sz w:val="24"/>
          <w:szCs w:val="24"/>
        </w:rPr>
        <w:t>Mathisen</w:t>
      </w:r>
      <w:proofErr w:type="spellEnd"/>
      <w:r w:rsidRPr="001C5E3E">
        <w:rPr>
          <w:rFonts w:ascii="Times New Roman" w:hAnsi="Times New Roman" w:cs="Times New Roman"/>
          <w:sz w:val="24"/>
          <w:szCs w:val="24"/>
        </w:rPr>
        <w:t xml:space="preserve">, G.E. &amp; </w:t>
      </w:r>
      <w:proofErr w:type="spellStart"/>
      <w:r w:rsidRPr="001C5E3E">
        <w:rPr>
          <w:rFonts w:ascii="Times New Roman" w:hAnsi="Times New Roman" w:cs="Times New Roman"/>
          <w:sz w:val="24"/>
          <w:szCs w:val="24"/>
        </w:rPr>
        <w:t>Yantcheva</w:t>
      </w:r>
      <w:proofErr w:type="spellEnd"/>
      <w:r w:rsidRPr="001C5E3E">
        <w:rPr>
          <w:rFonts w:ascii="Times New Roman" w:hAnsi="Times New Roman" w:cs="Times New Roman"/>
          <w:sz w:val="24"/>
          <w:szCs w:val="24"/>
        </w:rPr>
        <w:t xml:space="preserve">, B. 2023. Psychosocial safety climate as a predictor of work engagement, creativity, innovation, and work performance: A case study of software engineers. </w:t>
      </w:r>
      <w:r w:rsidRPr="001C5E3E">
        <w:rPr>
          <w:rFonts w:ascii="Times New Roman" w:hAnsi="Times New Roman" w:cs="Times New Roman"/>
          <w:i/>
          <w:iCs/>
          <w:sz w:val="24"/>
          <w:szCs w:val="24"/>
        </w:rPr>
        <w:t>Frontiers in Psychology</w:t>
      </w:r>
      <w:r w:rsidRPr="001C5E3E">
        <w:rPr>
          <w:rFonts w:ascii="Times New Roman" w:hAnsi="Times New Roman" w:cs="Times New Roman"/>
          <w:sz w:val="24"/>
          <w:szCs w:val="24"/>
        </w:rPr>
        <w:t xml:space="preserve">, 14: 1082283. </w:t>
      </w:r>
      <w:hyperlink r:id="rId22" w:tgtFrame="_new" w:history="1">
        <w:r w:rsidRPr="001C5E3E">
          <w:rPr>
            <w:rStyle w:val="Hyperlink"/>
            <w:rFonts w:ascii="Times New Roman" w:hAnsi="Times New Roman" w:cs="Times New Roman"/>
            <w:sz w:val="24"/>
            <w:szCs w:val="24"/>
          </w:rPr>
          <w:t>https://doi.org/10.3389/fpsyg.2023.1082283</w:t>
        </w:r>
      </w:hyperlink>
      <w:r w:rsidRPr="001C5E3E">
        <w:rPr>
          <w:rFonts w:ascii="Times New Roman" w:hAnsi="Times New Roman" w:cs="Times New Roman"/>
          <w:sz w:val="24"/>
          <w:szCs w:val="24"/>
        </w:rPr>
        <w:t xml:space="preserve"> 30 April 2026.</w:t>
      </w:r>
    </w:p>
    <w:p w:rsidR="00A05DED" w:rsidRPr="00A05DED" w:rsidRDefault="00A05DED" w:rsidP="00A05DED">
      <w:pPr>
        <w:spacing w:after="0" w:line="480" w:lineRule="auto"/>
      </w:pPr>
    </w:p>
    <w:sectPr w:rsidR="00A05DED" w:rsidRPr="00A05DED">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C2E" w:rsidRDefault="00D92C2E" w:rsidP="00A05DED">
      <w:pPr>
        <w:spacing w:after="0" w:line="240" w:lineRule="auto"/>
      </w:pPr>
      <w:r>
        <w:separator/>
      </w:r>
    </w:p>
  </w:endnote>
  <w:endnote w:type="continuationSeparator" w:id="0">
    <w:p w:rsidR="00D92C2E" w:rsidRDefault="00D92C2E" w:rsidP="00A0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C2E" w:rsidRDefault="00D92C2E" w:rsidP="00A05DED">
      <w:pPr>
        <w:spacing w:after="0" w:line="240" w:lineRule="auto"/>
      </w:pPr>
      <w:r>
        <w:separator/>
      </w:r>
    </w:p>
  </w:footnote>
  <w:footnote w:type="continuationSeparator" w:id="0">
    <w:p w:rsidR="00D92C2E" w:rsidRDefault="00D92C2E" w:rsidP="00A05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295541"/>
      <w:docPartObj>
        <w:docPartGallery w:val="Page Numbers (Top of Page)"/>
        <w:docPartUnique/>
      </w:docPartObj>
    </w:sdtPr>
    <w:sdtEndPr>
      <w:rPr>
        <w:noProof/>
      </w:rPr>
    </w:sdtEndPr>
    <w:sdtContent>
      <w:p w:rsidR="00A05DED" w:rsidRDefault="00A05DED">
        <w:pPr>
          <w:pStyle w:val="Header"/>
          <w:jc w:val="right"/>
        </w:pPr>
        <w:r w:rsidRPr="00A05DED">
          <w:rPr>
            <w:rFonts w:ascii="Times New Roman" w:hAnsi="Times New Roman" w:cs="Times New Roman"/>
            <w:sz w:val="24"/>
          </w:rPr>
          <w:fldChar w:fldCharType="begin"/>
        </w:r>
        <w:r w:rsidRPr="00A05DED">
          <w:rPr>
            <w:rFonts w:ascii="Times New Roman" w:hAnsi="Times New Roman" w:cs="Times New Roman"/>
            <w:sz w:val="24"/>
          </w:rPr>
          <w:instrText xml:space="preserve"> PAGE   \* MERGEFORMAT </w:instrText>
        </w:r>
        <w:r w:rsidRPr="00A05DED">
          <w:rPr>
            <w:rFonts w:ascii="Times New Roman" w:hAnsi="Times New Roman" w:cs="Times New Roman"/>
            <w:sz w:val="24"/>
          </w:rPr>
          <w:fldChar w:fldCharType="separate"/>
        </w:r>
        <w:r>
          <w:rPr>
            <w:rFonts w:ascii="Times New Roman" w:hAnsi="Times New Roman" w:cs="Times New Roman"/>
            <w:noProof/>
            <w:sz w:val="24"/>
          </w:rPr>
          <w:t>20</w:t>
        </w:r>
        <w:r w:rsidRPr="00A05DED">
          <w:rPr>
            <w:rFonts w:ascii="Times New Roman" w:hAnsi="Times New Roman" w:cs="Times New Roman"/>
            <w:noProof/>
            <w:sz w:val="24"/>
          </w:rPr>
          <w:fldChar w:fldCharType="end"/>
        </w:r>
      </w:p>
    </w:sdtContent>
  </w:sdt>
  <w:p w:rsidR="00A05DED" w:rsidRDefault="00A05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A2"/>
    <w:rsid w:val="00311263"/>
    <w:rsid w:val="005312A2"/>
    <w:rsid w:val="00582E28"/>
    <w:rsid w:val="00666C07"/>
    <w:rsid w:val="00A05DED"/>
    <w:rsid w:val="00D92C2E"/>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FD3A4-7EF4-4698-B865-CF6AD3C4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1263"/>
    <w:pPr>
      <w:keepNext/>
      <w:keepLines/>
      <w:spacing w:before="240" w:after="0"/>
      <w:outlineLvl w:val="0"/>
    </w:pPr>
    <w:rPr>
      <w:rFonts w:ascii="Times New Roman" w:eastAsiaTheme="majorEastAsia" w:hAnsi="Times New Roman" w:cstheme="majorBidi"/>
      <w:b/>
      <w:i/>
      <w:color w:val="000000" w:themeColor="text1"/>
      <w:sz w:val="24"/>
      <w:szCs w:val="32"/>
    </w:rPr>
  </w:style>
  <w:style w:type="paragraph" w:styleId="Heading2">
    <w:name w:val="heading 2"/>
    <w:basedOn w:val="Normal"/>
    <w:link w:val="Heading2Char"/>
    <w:uiPriority w:val="9"/>
    <w:qFormat/>
    <w:rsid w:val="00311263"/>
    <w:pPr>
      <w:spacing w:before="100" w:beforeAutospacing="1" w:after="100" w:afterAutospacing="1" w:line="240" w:lineRule="auto"/>
      <w:outlineLvl w:val="1"/>
    </w:pPr>
    <w:rPr>
      <w:rFonts w:ascii="Times New Roman" w:eastAsia="Times New Roman" w:hAnsi="Times New Roman" w:cs="Times New Roman"/>
      <w:bCs/>
      <w:i/>
      <w:sz w:val="24"/>
      <w:szCs w:val="36"/>
    </w:rPr>
  </w:style>
  <w:style w:type="paragraph" w:styleId="Heading3">
    <w:name w:val="heading 3"/>
    <w:basedOn w:val="Normal"/>
    <w:link w:val="Heading3Char"/>
    <w:uiPriority w:val="9"/>
    <w:qFormat/>
    <w:rsid w:val="005312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263"/>
    <w:rPr>
      <w:rFonts w:ascii="Times New Roman" w:eastAsia="Times New Roman" w:hAnsi="Times New Roman" w:cs="Times New Roman"/>
      <w:bCs/>
      <w:i/>
      <w:sz w:val="24"/>
      <w:szCs w:val="36"/>
    </w:rPr>
  </w:style>
  <w:style w:type="character" w:customStyle="1" w:styleId="Heading3Char">
    <w:name w:val="Heading 3 Char"/>
    <w:basedOn w:val="DefaultParagraphFont"/>
    <w:link w:val="Heading3"/>
    <w:uiPriority w:val="9"/>
    <w:rsid w:val="005312A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312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11263"/>
    <w:rPr>
      <w:rFonts w:ascii="Times New Roman" w:eastAsiaTheme="majorEastAsia" w:hAnsi="Times New Roman" w:cstheme="majorBidi"/>
      <w:b/>
      <w:i/>
      <w:color w:val="000000" w:themeColor="text1"/>
      <w:sz w:val="24"/>
      <w:szCs w:val="32"/>
    </w:rPr>
  </w:style>
  <w:style w:type="paragraph" w:styleId="Header">
    <w:name w:val="header"/>
    <w:basedOn w:val="Normal"/>
    <w:link w:val="HeaderChar"/>
    <w:uiPriority w:val="99"/>
    <w:unhideWhenUsed/>
    <w:rsid w:val="00A05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DED"/>
  </w:style>
  <w:style w:type="paragraph" w:styleId="Footer">
    <w:name w:val="footer"/>
    <w:basedOn w:val="Normal"/>
    <w:link w:val="FooterChar"/>
    <w:uiPriority w:val="99"/>
    <w:unhideWhenUsed/>
    <w:rsid w:val="00A05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DED"/>
  </w:style>
  <w:style w:type="paragraph" w:styleId="TOCHeading">
    <w:name w:val="TOC Heading"/>
    <w:basedOn w:val="Heading1"/>
    <w:next w:val="Normal"/>
    <w:uiPriority w:val="39"/>
    <w:unhideWhenUsed/>
    <w:qFormat/>
    <w:rsid w:val="00A05DED"/>
    <w:pPr>
      <w:outlineLvl w:val="9"/>
    </w:pPr>
    <w:rPr>
      <w:rFonts w:asciiTheme="majorHAnsi" w:hAnsiTheme="majorHAnsi"/>
      <w:b w:val="0"/>
      <w:i w:val="0"/>
      <w:color w:val="2E74B5" w:themeColor="accent1" w:themeShade="BF"/>
      <w:sz w:val="32"/>
    </w:rPr>
  </w:style>
  <w:style w:type="paragraph" w:styleId="TOC1">
    <w:name w:val="toc 1"/>
    <w:basedOn w:val="Normal"/>
    <w:next w:val="Normal"/>
    <w:autoRedefine/>
    <w:uiPriority w:val="39"/>
    <w:unhideWhenUsed/>
    <w:rsid w:val="00A05DED"/>
    <w:pPr>
      <w:spacing w:after="100"/>
    </w:pPr>
  </w:style>
  <w:style w:type="paragraph" w:styleId="TOC2">
    <w:name w:val="toc 2"/>
    <w:basedOn w:val="Normal"/>
    <w:next w:val="Normal"/>
    <w:autoRedefine/>
    <w:uiPriority w:val="39"/>
    <w:unhideWhenUsed/>
    <w:rsid w:val="00A05DED"/>
    <w:pPr>
      <w:spacing w:after="100"/>
      <w:ind w:left="220"/>
    </w:pPr>
  </w:style>
  <w:style w:type="character" w:styleId="Hyperlink">
    <w:name w:val="Hyperlink"/>
    <w:basedOn w:val="DefaultParagraphFont"/>
    <w:uiPriority w:val="99"/>
    <w:unhideWhenUsed/>
    <w:rsid w:val="00A05D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6114743" TargetMode="External"/><Relationship Id="rId13" Type="http://schemas.openxmlformats.org/officeDocument/2006/relationships/hyperlink" Target="https://doi.org/10.3389/fpsyg.2022.1060412" TargetMode="External"/><Relationship Id="rId18" Type="http://schemas.openxmlformats.org/officeDocument/2006/relationships/hyperlink" Target="https://doi.org/10.3390/su16041398" TargetMode="External"/><Relationship Id="rId3" Type="http://schemas.openxmlformats.org/officeDocument/2006/relationships/settings" Target="settings.xml"/><Relationship Id="rId21" Type="http://schemas.openxmlformats.org/officeDocument/2006/relationships/hyperlink" Target="https://doi.org/10.3389/fpsyg.2022.856407" TargetMode="External"/><Relationship Id="rId7" Type="http://schemas.openxmlformats.org/officeDocument/2006/relationships/hyperlink" Target="https://doi.org/10.3389/fpsyg.2022.910206" TargetMode="External"/><Relationship Id="rId12" Type="http://schemas.openxmlformats.org/officeDocument/2006/relationships/hyperlink" Target="https://doi.org/10.3389/fpsyg.2023.1147002" TargetMode="External"/><Relationship Id="rId17" Type="http://schemas.openxmlformats.org/officeDocument/2006/relationships/hyperlink" Target="https://doi.org/10.1371/journal.pone.028722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7/s41599-024-04037-7" TargetMode="External"/><Relationship Id="rId20" Type="http://schemas.openxmlformats.org/officeDocument/2006/relationships/hyperlink" Target="https://doi.org/10.3390/math1106148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371/journal.pone.028230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71/journal.pone.0306629" TargetMode="External"/><Relationship Id="rId23" Type="http://schemas.openxmlformats.org/officeDocument/2006/relationships/header" Target="header1.xml"/><Relationship Id="rId10" Type="http://schemas.openxmlformats.org/officeDocument/2006/relationships/hyperlink" Target="https://doi.org/10.3389/fpsyg.2022.787223" TargetMode="External"/><Relationship Id="rId19" Type="http://schemas.openxmlformats.org/officeDocument/2006/relationships/hyperlink" Target="https://doi.org/10.3390/math12121857" TargetMode="External"/><Relationship Id="rId4" Type="http://schemas.openxmlformats.org/officeDocument/2006/relationships/webSettings" Target="webSettings.xml"/><Relationship Id="rId9" Type="http://schemas.openxmlformats.org/officeDocument/2006/relationships/hyperlink" Target="https://doi.org/10.3389/ijph.2024.1607332" TargetMode="External"/><Relationship Id="rId14" Type="http://schemas.openxmlformats.org/officeDocument/2006/relationships/hyperlink" Target="https://doi.org/10.3389/fpsyg.2022.841804" TargetMode="External"/><Relationship Id="rId22" Type="http://schemas.openxmlformats.org/officeDocument/2006/relationships/hyperlink" Target="https://doi.org/10.3389/fpsyg.2023.1082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A494-BC3A-407C-9CE4-D944BA1A6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5835</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2026-05-03T19:53:00Z</dcterms:created>
  <dcterms:modified xsi:type="dcterms:W3CDTF">2026-05-03T23:18:00Z</dcterms:modified>
</cp:coreProperties>
</file>