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647" w:rsidRDefault="00104647" w:rsidP="007B0F9C">
      <w:pPr>
        <w:spacing w:after="0" w:line="480" w:lineRule="auto"/>
        <w:jc w:val="center"/>
        <w:rPr>
          <w:rFonts w:ascii="Times New Roman" w:hAnsi="Times New Roman" w:cs="Times New Roman"/>
          <w:sz w:val="24"/>
          <w:szCs w:val="24"/>
        </w:rPr>
      </w:pPr>
      <w:bookmarkStart w:id="0" w:name="_GoBack"/>
      <w:bookmarkEnd w:id="0"/>
    </w:p>
    <w:p w:rsidR="00104647" w:rsidRDefault="00104647" w:rsidP="007B0F9C">
      <w:pPr>
        <w:spacing w:after="0" w:line="480" w:lineRule="auto"/>
        <w:jc w:val="center"/>
        <w:rPr>
          <w:rFonts w:ascii="Times New Roman" w:hAnsi="Times New Roman" w:cs="Times New Roman"/>
          <w:sz w:val="24"/>
          <w:szCs w:val="24"/>
        </w:rPr>
      </w:pPr>
    </w:p>
    <w:p w:rsidR="00104647" w:rsidRDefault="00104647" w:rsidP="007B0F9C">
      <w:pPr>
        <w:spacing w:after="0" w:line="480" w:lineRule="auto"/>
        <w:jc w:val="center"/>
        <w:rPr>
          <w:rFonts w:ascii="Times New Roman" w:hAnsi="Times New Roman" w:cs="Times New Roman"/>
          <w:sz w:val="24"/>
          <w:szCs w:val="24"/>
        </w:rPr>
      </w:pPr>
    </w:p>
    <w:p w:rsidR="00104647" w:rsidRDefault="00104647" w:rsidP="007B0F9C">
      <w:pPr>
        <w:spacing w:after="0" w:line="480" w:lineRule="auto"/>
        <w:jc w:val="center"/>
        <w:rPr>
          <w:rFonts w:ascii="Times New Roman" w:hAnsi="Times New Roman" w:cs="Times New Roman"/>
          <w:sz w:val="24"/>
          <w:szCs w:val="24"/>
        </w:rPr>
      </w:pPr>
    </w:p>
    <w:p w:rsidR="00104647" w:rsidRDefault="00104647" w:rsidP="007B0F9C">
      <w:pPr>
        <w:spacing w:after="0" w:line="480" w:lineRule="auto"/>
        <w:jc w:val="center"/>
        <w:rPr>
          <w:rFonts w:ascii="Times New Roman" w:hAnsi="Times New Roman" w:cs="Times New Roman"/>
          <w:sz w:val="24"/>
          <w:szCs w:val="24"/>
        </w:rPr>
      </w:pPr>
    </w:p>
    <w:p w:rsidR="00104647" w:rsidRPr="00101551" w:rsidRDefault="00104647" w:rsidP="007B0F9C">
      <w:pPr>
        <w:spacing w:after="0" w:line="480" w:lineRule="auto"/>
        <w:jc w:val="center"/>
        <w:rPr>
          <w:rFonts w:ascii="Times New Roman" w:hAnsi="Times New Roman" w:cs="Times New Roman"/>
          <w:sz w:val="24"/>
          <w:szCs w:val="24"/>
        </w:rPr>
      </w:pPr>
      <w:r w:rsidRPr="00F27EA3">
        <w:rPr>
          <w:rFonts w:ascii="Times New Roman" w:hAnsi="Times New Roman" w:cs="Times New Roman"/>
          <w:sz w:val="24"/>
          <w:szCs w:val="24"/>
        </w:rPr>
        <w:t>Patch 2: Managing the Change Process</w:t>
      </w:r>
    </w:p>
    <w:p w:rsidR="00104647" w:rsidRPr="00101551" w:rsidRDefault="00104647" w:rsidP="007B0F9C">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Name of Author</w:t>
      </w:r>
    </w:p>
    <w:p w:rsidR="00104647" w:rsidRPr="00101551" w:rsidRDefault="00104647" w:rsidP="007B0F9C">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[Name of the Institution Affiliated]</w:t>
      </w:r>
    </w:p>
    <w:p w:rsidR="00104647" w:rsidRPr="00101551" w:rsidRDefault="00104647" w:rsidP="007B0F9C">
      <w:pPr>
        <w:spacing w:after="0" w:line="480" w:lineRule="auto"/>
        <w:jc w:val="center"/>
        <w:rPr>
          <w:rFonts w:ascii="Times New Roman" w:hAnsi="Times New Roman" w:cs="Times New Roman"/>
          <w:sz w:val="24"/>
          <w:szCs w:val="24"/>
        </w:rPr>
      </w:pPr>
    </w:p>
    <w:p w:rsidR="00104647" w:rsidRPr="00101551" w:rsidRDefault="00104647" w:rsidP="007B0F9C">
      <w:pPr>
        <w:spacing w:after="0" w:line="480" w:lineRule="auto"/>
        <w:jc w:val="center"/>
        <w:rPr>
          <w:rFonts w:ascii="Times New Roman" w:hAnsi="Times New Roman" w:cs="Times New Roman"/>
          <w:sz w:val="24"/>
          <w:szCs w:val="24"/>
        </w:rPr>
      </w:pPr>
    </w:p>
    <w:p w:rsidR="00104647" w:rsidRPr="00101551" w:rsidRDefault="00104647" w:rsidP="007B0F9C">
      <w:pPr>
        <w:spacing w:after="0" w:line="480" w:lineRule="auto"/>
        <w:jc w:val="center"/>
        <w:rPr>
          <w:rFonts w:ascii="Times New Roman" w:hAnsi="Times New Roman" w:cs="Times New Roman"/>
          <w:sz w:val="24"/>
          <w:szCs w:val="24"/>
        </w:rPr>
      </w:pPr>
    </w:p>
    <w:p w:rsidR="00104647" w:rsidRPr="00101551" w:rsidRDefault="00104647" w:rsidP="007B0F9C">
      <w:pPr>
        <w:spacing w:after="0" w:line="480" w:lineRule="auto"/>
        <w:jc w:val="center"/>
        <w:rPr>
          <w:rFonts w:ascii="Times New Roman" w:hAnsi="Times New Roman" w:cs="Times New Roman"/>
          <w:sz w:val="24"/>
          <w:szCs w:val="24"/>
        </w:rPr>
      </w:pPr>
    </w:p>
    <w:p w:rsidR="00104647" w:rsidRPr="00101551" w:rsidRDefault="00104647" w:rsidP="007B0F9C">
      <w:pPr>
        <w:spacing w:after="0" w:line="480" w:lineRule="auto"/>
        <w:jc w:val="center"/>
        <w:rPr>
          <w:rFonts w:ascii="Times New Roman" w:hAnsi="Times New Roman" w:cs="Times New Roman"/>
          <w:sz w:val="24"/>
          <w:szCs w:val="24"/>
        </w:rPr>
      </w:pPr>
    </w:p>
    <w:p w:rsidR="00104647" w:rsidRPr="00101551" w:rsidRDefault="00104647" w:rsidP="007B0F9C">
      <w:pPr>
        <w:spacing w:after="0" w:line="480" w:lineRule="auto"/>
        <w:jc w:val="center"/>
        <w:rPr>
          <w:rFonts w:ascii="Times New Roman" w:hAnsi="Times New Roman" w:cs="Times New Roman"/>
          <w:sz w:val="24"/>
          <w:szCs w:val="24"/>
        </w:rPr>
      </w:pPr>
    </w:p>
    <w:p w:rsidR="00104647" w:rsidRPr="00101551" w:rsidRDefault="00104647" w:rsidP="007B0F9C">
      <w:pPr>
        <w:spacing w:after="0" w:line="480" w:lineRule="auto"/>
        <w:jc w:val="center"/>
        <w:rPr>
          <w:rFonts w:ascii="Times New Roman" w:hAnsi="Times New Roman" w:cs="Times New Roman"/>
          <w:sz w:val="24"/>
          <w:szCs w:val="24"/>
        </w:rPr>
      </w:pPr>
    </w:p>
    <w:p w:rsidR="00104647" w:rsidRPr="00101551" w:rsidRDefault="00104647" w:rsidP="007B0F9C">
      <w:pPr>
        <w:spacing w:after="0" w:line="480" w:lineRule="auto"/>
        <w:jc w:val="center"/>
        <w:rPr>
          <w:rFonts w:ascii="Times New Roman" w:hAnsi="Times New Roman" w:cs="Times New Roman"/>
          <w:sz w:val="24"/>
          <w:szCs w:val="24"/>
        </w:rPr>
      </w:pPr>
    </w:p>
    <w:p w:rsidR="00104647" w:rsidRPr="00101551" w:rsidRDefault="00104647" w:rsidP="007B0F9C">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Date</w:t>
      </w:r>
    </w:p>
    <w:p w:rsidR="00104647" w:rsidRDefault="00104647" w:rsidP="007B0F9C">
      <w:pPr>
        <w:spacing w:after="0" w:line="480" w:lineRule="auto"/>
        <w:outlineLvl w:val="1"/>
        <w:rPr>
          <w:rFonts w:ascii="Times New Roman" w:eastAsia="Times New Roman" w:hAnsi="Times New Roman" w:cs="Times New Roman"/>
          <w:b/>
          <w:bCs/>
          <w:sz w:val="24"/>
          <w:szCs w:val="24"/>
        </w:rPr>
      </w:pPr>
      <w:r w:rsidRPr="00101551">
        <w:rPr>
          <w:rFonts w:ascii="Times New Roman" w:hAnsi="Times New Roman" w:cs="Times New Roman"/>
          <w:sz w:val="24"/>
          <w:szCs w:val="24"/>
        </w:rPr>
        <w:br w:type="page"/>
      </w:r>
    </w:p>
    <w:sdt>
      <w:sdtPr>
        <w:id w:val="-1998719525"/>
        <w:docPartObj>
          <w:docPartGallery w:val="Table of Contents"/>
          <w:docPartUnique/>
        </w:docPartObj>
      </w:sdtPr>
      <w:sdtEndPr>
        <w:rPr>
          <w:rFonts w:asciiTheme="minorHAnsi" w:eastAsiaTheme="minorHAnsi" w:hAnsiTheme="minorHAnsi" w:cstheme="minorBidi"/>
          <w:bCs/>
          <w:i w:val="0"/>
          <w:noProof/>
          <w:color w:val="auto"/>
          <w:sz w:val="22"/>
          <w:szCs w:val="22"/>
        </w:rPr>
      </w:sdtEndPr>
      <w:sdtContent>
        <w:p w:rsidR="007B0F9C" w:rsidRDefault="007B0F9C" w:rsidP="007B0F9C">
          <w:pPr>
            <w:pStyle w:val="Heading1"/>
          </w:pPr>
          <w:r w:rsidRPr="007B0F9C">
            <w:t>Table of Contents</w:t>
          </w:r>
        </w:p>
        <w:p w:rsidR="007B0F9C" w:rsidRPr="007B0F9C" w:rsidRDefault="007B0F9C" w:rsidP="007B0F9C"/>
        <w:p w:rsidR="007B0F9C" w:rsidRPr="007B0F9C" w:rsidRDefault="007B0F9C" w:rsidP="007B0F9C">
          <w:pPr>
            <w:pStyle w:val="TOC1"/>
            <w:tabs>
              <w:tab w:val="right" w:leader="dot" w:pos="9350"/>
            </w:tabs>
            <w:spacing w:after="0" w:line="480" w:lineRule="auto"/>
            <w:rPr>
              <w:rFonts w:ascii="Times New Roman" w:hAnsi="Times New Roman" w:cs="Times New Roman"/>
              <w:noProof/>
              <w:sz w:val="24"/>
              <w:szCs w:val="24"/>
            </w:rPr>
          </w:pPr>
          <w:r w:rsidRPr="007B0F9C">
            <w:rPr>
              <w:rFonts w:ascii="Times New Roman" w:hAnsi="Times New Roman" w:cs="Times New Roman"/>
              <w:b/>
              <w:bCs/>
              <w:noProof/>
              <w:sz w:val="24"/>
              <w:szCs w:val="24"/>
            </w:rPr>
            <w:fldChar w:fldCharType="begin"/>
          </w:r>
          <w:r w:rsidRPr="007B0F9C">
            <w:rPr>
              <w:rFonts w:ascii="Times New Roman" w:hAnsi="Times New Roman" w:cs="Times New Roman"/>
              <w:b/>
              <w:bCs/>
              <w:noProof/>
              <w:sz w:val="24"/>
              <w:szCs w:val="24"/>
            </w:rPr>
            <w:instrText xml:space="preserve"> TOC \o "1-3" \h \z \u </w:instrText>
          </w:r>
          <w:r w:rsidRPr="007B0F9C">
            <w:rPr>
              <w:rFonts w:ascii="Times New Roman" w:hAnsi="Times New Roman" w:cs="Times New Roman"/>
              <w:b/>
              <w:bCs/>
              <w:noProof/>
              <w:sz w:val="24"/>
              <w:szCs w:val="24"/>
            </w:rPr>
            <w:fldChar w:fldCharType="separate"/>
          </w:r>
          <w:hyperlink w:anchor="_Toc228614528" w:history="1">
            <w:r w:rsidRPr="007B0F9C">
              <w:rPr>
                <w:rStyle w:val="Hyperlink"/>
                <w:rFonts w:ascii="Times New Roman" w:eastAsia="Times New Roman" w:hAnsi="Times New Roman" w:cs="Times New Roman"/>
                <w:noProof/>
                <w:sz w:val="24"/>
                <w:szCs w:val="24"/>
              </w:rPr>
              <w:t>Introduction</w:t>
            </w:r>
            <w:r w:rsidRPr="007B0F9C">
              <w:rPr>
                <w:rFonts w:ascii="Times New Roman" w:hAnsi="Times New Roman" w:cs="Times New Roman"/>
                <w:noProof/>
                <w:webHidden/>
                <w:sz w:val="24"/>
                <w:szCs w:val="24"/>
              </w:rPr>
              <w:tab/>
            </w:r>
            <w:r w:rsidRPr="007B0F9C">
              <w:rPr>
                <w:rFonts w:ascii="Times New Roman" w:hAnsi="Times New Roman" w:cs="Times New Roman"/>
                <w:noProof/>
                <w:webHidden/>
                <w:sz w:val="24"/>
                <w:szCs w:val="24"/>
              </w:rPr>
              <w:fldChar w:fldCharType="begin"/>
            </w:r>
            <w:r w:rsidRPr="007B0F9C">
              <w:rPr>
                <w:rFonts w:ascii="Times New Roman" w:hAnsi="Times New Roman" w:cs="Times New Roman"/>
                <w:noProof/>
                <w:webHidden/>
                <w:sz w:val="24"/>
                <w:szCs w:val="24"/>
              </w:rPr>
              <w:instrText xml:space="preserve"> PAGEREF _Toc228614528 \h </w:instrText>
            </w:r>
            <w:r w:rsidRPr="007B0F9C">
              <w:rPr>
                <w:rFonts w:ascii="Times New Roman" w:hAnsi="Times New Roman" w:cs="Times New Roman"/>
                <w:noProof/>
                <w:webHidden/>
                <w:sz w:val="24"/>
                <w:szCs w:val="24"/>
              </w:rPr>
            </w:r>
            <w:r w:rsidRPr="007B0F9C">
              <w:rPr>
                <w:rFonts w:ascii="Times New Roman" w:hAnsi="Times New Roman" w:cs="Times New Roman"/>
                <w:noProof/>
                <w:webHidden/>
                <w:sz w:val="24"/>
                <w:szCs w:val="24"/>
              </w:rPr>
              <w:fldChar w:fldCharType="separate"/>
            </w:r>
            <w:r w:rsidRPr="007B0F9C">
              <w:rPr>
                <w:rFonts w:ascii="Times New Roman" w:hAnsi="Times New Roman" w:cs="Times New Roman"/>
                <w:noProof/>
                <w:webHidden/>
                <w:sz w:val="24"/>
                <w:szCs w:val="24"/>
              </w:rPr>
              <w:t>3</w:t>
            </w:r>
            <w:r w:rsidRPr="007B0F9C">
              <w:rPr>
                <w:rFonts w:ascii="Times New Roman" w:hAnsi="Times New Roman" w:cs="Times New Roman"/>
                <w:noProof/>
                <w:webHidden/>
                <w:sz w:val="24"/>
                <w:szCs w:val="24"/>
              </w:rPr>
              <w:fldChar w:fldCharType="end"/>
            </w:r>
          </w:hyperlink>
        </w:p>
        <w:p w:rsidR="007B0F9C" w:rsidRPr="007B0F9C" w:rsidRDefault="007B0F9C" w:rsidP="007B0F9C">
          <w:pPr>
            <w:pStyle w:val="TOC1"/>
            <w:tabs>
              <w:tab w:val="right" w:leader="dot" w:pos="9350"/>
            </w:tabs>
            <w:spacing w:after="0" w:line="480" w:lineRule="auto"/>
            <w:rPr>
              <w:rFonts w:ascii="Times New Roman" w:hAnsi="Times New Roman" w:cs="Times New Roman"/>
              <w:noProof/>
              <w:sz w:val="24"/>
              <w:szCs w:val="24"/>
            </w:rPr>
          </w:pPr>
          <w:hyperlink w:anchor="_Toc228614529" w:history="1">
            <w:r w:rsidRPr="007B0F9C">
              <w:rPr>
                <w:rStyle w:val="Hyperlink"/>
                <w:rFonts w:ascii="Times New Roman" w:eastAsia="Times New Roman" w:hAnsi="Times New Roman" w:cs="Times New Roman"/>
                <w:noProof/>
                <w:sz w:val="24"/>
                <w:szCs w:val="24"/>
              </w:rPr>
              <w:t>Overview of Courts Guyana Inc. in the Context of Patch 2</w:t>
            </w:r>
            <w:r w:rsidRPr="007B0F9C">
              <w:rPr>
                <w:rFonts w:ascii="Times New Roman" w:hAnsi="Times New Roman" w:cs="Times New Roman"/>
                <w:noProof/>
                <w:webHidden/>
                <w:sz w:val="24"/>
                <w:szCs w:val="24"/>
              </w:rPr>
              <w:tab/>
            </w:r>
            <w:r w:rsidRPr="007B0F9C">
              <w:rPr>
                <w:rFonts w:ascii="Times New Roman" w:hAnsi="Times New Roman" w:cs="Times New Roman"/>
                <w:noProof/>
                <w:webHidden/>
                <w:sz w:val="24"/>
                <w:szCs w:val="24"/>
              </w:rPr>
              <w:fldChar w:fldCharType="begin"/>
            </w:r>
            <w:r w:rsidRPr="007B0F9C">
              <w:rPr>
                <w:rFonts w:ascii="Times New Roman" w:hAnsi="Times New Roman" w:cs="Times New Roman"/>
                <w:noProof/>
                <w:webHidden/>
                <w:sz w:val="24"/>
                <w:szCs w:val="24"/>
              </w:rPr>
              <w:instrText xml:space="preserve"> PAGEREF _Toc228614529 \h </w:instrText>
            </w:r>
            <w:r w:rsidRPr="007B0F9C">
              <w:rPr>
                <w:rFonts w:ascii="Times New Roman" w:hAnsi="Times New Roman" w:cs="Times New Roman"/>
                <w:noProof/>
                <w:webHidden/>
                <w:sz w:val="24"/>
                <w:szCs w:val="24"/>
              </w:rPr>
            </w:r>
            <w:r w:rsidRPr="007B0F9C">
              <w:rPr>
                <w:rFonts w:ascii="Times New Roman" w:hAnsi="Times New Roman" w:cs="Times New Roman"/>
                <w:noProof/>
                <w:webHidden/>
                <w:sz w:val="24"/>
                <w:szCs w:val="24"/>
              </w:rPr>
              <w:fldChar w:fldCharType="separate"/>
            </w:r>
            <w:r w:rsidRPr="007B0F9C">
              <w:rPr>
                <w:rFonts w:ascii="Times New Roman" w:hAnsi="Times New Roman" w:cs="Times New Roman"/>
                <w:noProof/>
                <w:webHidden/>
                <w:sz w:val="24"/>
                <w:szCs w:val="24"/>
              </w:rPr>
              <w:t>3</w:t>
            </w:r>
            <w:r w:rsidRPr="007B0F9C">
              <w:rPr>
                <w:rFonts w:ascii="Times New Roman" w:hAnsi="Times New Roman" w:cs="Times New Roman"/>
                <w:noProof/>
                <w:webHidden/>
                <w:sz w:val="24"/>
                <w:szCs w:val="24"/>
              </w:rPr>
              <w:fldChar w:fldCharType="end"/>
            </w:r>
          </w:hyperlink>
        </w:p>
        <w:p w:rsidR="007B0F9C" w:rsidRPr="007B0F9C" w:rsidRDefault="007B0F9C" w:rsidP="007B0F9C">
          <w:pPr>
            <w:pStyle w:val="TOC1"/>
            <w:tabs>
              <w:tab w:val="right" w:leader="dot" w:pos="9350"/>
            </w:tabs>
            <w:spacing w:after="0" w:line="480" w:lineRule="auto"/>
            <w:rPr>
              <w:rFonts w:ascii="Times New Roman" w:hAnsi="Times New Roman" w:cs="Times New Roman"/>
              <w:noProof/>
              <w:sz w:val="24"/>
              <w:szCs w:val="24"/>
            </w:rPr>
          </w:pPr>
          <w:hyperlink w:anchor="_Toc228614530" w:history="1">
            <w:r w:rsidRPr="007B0F9C">
              <w:rPr>
                <w:rStyle w:val="Hyperlink"/>
                <w:rFonts w:ascii="Times New Roman" w:eastAsia="Times New Roman" w:hAnsi="Times New Roman" w:cs="Times New Roman"/>
                <w:noProof/>
                <w:sz w:val="24"/>
                <w:szCs w:val="24"/>
              </w:rPr>
              <w:t>Change process</w:t>
            </w:r>
            <w:r w:rsidRPr="007B0F9C">
              <w:rPr>
                <w:rFonts w:ascii="Times New Roman" w:hAnsi="Times New Roman" w:cs="Times New Roman"/>
                <w:noProof/>
                <w:webHidden/>
                <w:sz w:val="24"/>
                <w:szCs w:val="24"/>
              </w:rPr>
              <w:tab/>
            </w:r>
            <w:r w:rsidRPr="007B0F9C">
              <w:rPr>
                <w:rFonts w:ascii="Times New Roman" w:hAnsi="Times New Roman" w:cs="Times New Roman"/>
                <w:noProof/>
                <w:webHidden/>
                <w:sz w:val="24"/>
                <w:szCs w:val="24"/>
              </w:rPr>
              <w:fldChar w:fldCharType="begin"/>
            </w:r>
            <w:r w:rsidRPr="007B0F9C">
              <w:rPr>
                <w:rFonts w:ascii="Times New Roman" w:hAnsi="Times New Roman" w:cs="Times New Roman"/>
                <w:noProof/>
                <w:webHidden/>
                <w:sz w:val="24"/>
                <w:szCs w:val="24"/>
              </w:rPr>
              <w:instrText xml:space="preserve"> PAGEREF _Toc228614530 \h </w:instrText>
            </w:r>
            <w:r w:rsidRPr="007B0F9C">
              <w:rPr>
                <w:rFonts w:ascii="Times New Roman" w:hAnsi="Times New Roman" w:cs="Times New Roman"/>
                <w:noProof/>
                <w:webHidden/>
                <w:sz w:val="24"/>
                <w:szCs w:val="24"/>
              </w:rPr>
            </w:r>
            <w:r w:rsidRPr="007B0F9C">
              <w:rPr>
                <w:rFonts w:ascii="Times New Roman" w:hAnsi="Times New Roman" w:cs="Times New Roman"/>
                <w:noProof/>
                <w:webHidden/>
                <w:sz w:val="24"/>
                <w:szCs w:val="24"/>
              </w:rPr>
              <w:fldChar w:fldCharType="separate"/>
            </w:r>
            <w:r w:rsidRPr="007B0F9C">
              <w:rPr>
                <w:rFonts w:ascii="Times New Roman" w:hAnsi="Times New Roman" w:cs="Times New Roman"/>
                <w:noProof/>
                <w:webHidden/>
                <w:sz w:val="24"/>
                <w:szCs w:val="24"/>
              </w:rPr>
              <w:t>4</w:t>
            </w:r>
            <w:r w:rsidRPr="007B0F9C">
              <w:rPr>
                <w:rFonts w:ascii="Times New Roman" w:hAnsi="Times New Roman" w:cs="Times New Roman"/>
                <w:noProof/>
                <w:webHidden/>
                <w:sz w:val="24"/>
                <w:szCs w:val="24"/>
              </w:rPr>
              <w:fldChar w:fldCharType="end"/>
            </w:r>
          </w:hyperlink>
        </w:p>
        <w:p w:rsidR="007B0F9C" w:rsidRPr="007B0F9C" w:rsidRDefault="007B0F9C" w:rsidP="007B0F9C">
          <w:pPr>
            <w:pStyle w:val="TOC2"/>
            <w:tabs>
              <w:tab w:val="right" w:leader="dot" w:pos="9350"/>
            </w:tabs>
            <w:spacing w:after="0" w:line="480" w:lineRule="auto"/>
            <w:rPr>
              <w:rFonts w:ascii="Times New Roman" w:hAnsi="Times New Roman" w:cs="Times New Roman"/>
              <w:noProof/>
              <w:sz w:val="24"/>
              <w:szCs w:val="24"/>
            </w:rPr>
          </w:pPr>
          <w:hyperlink w:anchor="_Toc228614531" w:history="1">
            <w:r w:rsidRPr="007B0F9C">
              <w:rPr>
                <w:rStyle w:val="Hyperlink"/>
                <w:rFonts w:ascii="Times New Roman" w:hAnsi="Times New Roman" w:cs="Times New Roman"/>
                <w:noProof/>
                <w:sz w:val="24"/>
                <w:szCs w:val="24"/>
              </w:rPr>
              <w:t>The Kaleidoscope Model</w:t>
            </w:r>
            <w:r w:rsidRPr="007B0F9C">
              <w:rPr>
                <w:rFonts w:ascii="Times New Roman" w:hAnsi="Times New Roman" w:cs="Times New Roman"/>
                <w:noProof/>
                <w:webHidden/>
                <w:sz w:val="24"/>
                <w:szCs w:val="24"/>
              </w:rPr>
              <w:tab/>
            </w:r>
            <w:r w:rsidRPr="007B0F9C">
              <w:rPr>
                <w:rFonts w:ascii="Times New Roman" w:hAnsi="Times New Roman" w:cs="Times New Roman"/>
                <w:noProof/>
                <w:webHidden/>
                <w:sz w:val="24"/>
                <w:szCs w:val="24"/>
              </w:rPr>
              <w:fldChar w:fldCharType="begin"/>
            </w:r>
            <w:r w:rsidRPr="007B0F9C">
              <w:rPr>
                <w:rFonts w:ascii="Times New Roman" w:hAnsi="Times New Roman" w:cs="Times New Roman"/>
                <w:noProof/>
                <w:webHidden/>
                <w:sz w:val="24"/>
                <w:szCs w:val="24"/>
              </w:rPr>
              <w:instrText xml:space="preserve"> PAGEREF _Toc228614531 \h </w:instrText>
            </w:r>
            <w:r w:rsidRPr="007B0F9C">
              <w:rPr>
                <w:rFonts w:ascii="Times New Roman" w:hAnsi="Times New Roman" w:cs="Times New Roman"/>
                <w:noProof/>
                <w:webHidden/>
                <w:sz w:val="24"/>
                <w:szCs w:val="24"/>
              </w:rPr>
            </w:r>
            <w:r w:rsidRPr="007B0F9C">
              <w:rPr>
                <w:rFonts w:ascii="Times New Roman" w:hAnsi="Times New Roman" w:cs="Times New Roman"/>
                <w:noProof/>
                <w:webHidden/>
                <w:sz w:val="24"/>
                <w:szCs w:val="24"/>
              </w:rPr>
              <w:fldChar w:fldCharType="separate"/>
            </w:r>
            <w:r w:rsidRPr="007B0F9C">
              <w:rPr>
                <w:rFonts w:ascii="Times New Roman" w:hAnsi="Times New Roman" w:cs="Times New Roman"/>
                <w:noProof/>
                <w:webHidden/>
                <w:sz w:val="24"/>
                <w:szCs w:val="24"/>
              </w:rPr>
              <w:t>4</w:t>
            </w:r>
            <w:r w:rsidRPr="007B0F9C">
              <w:rPr>
                <w:rFonts w:ascii="Times New Roman" w:hAnsi="Times New Roman" w:cs="Times New Roman"/>
                <w:noProof/>
                <w:webHidden/>
                <w:sz w:val="24"/>
                <w:szCs w:val="24"/>
              </w:rPr>
              <w:fldChar w:fldCharType="end"/>
            </w:r>
          </w:hyperlink>
        </w:p>
        <w:p w:rsidR="007B0F9C" w:rsidRPr="007B0F9C" w:rsidRDefault="007B0F9C" w:rsidP="007B0F9C">
          <w:pPr>
            <w:pStyle w:val="TOC1"/>
            <w:tabs>
              <w:tab w:val="right" w:leader="dot" w:pos="9350"/>
            </w:tabs>
            <w:spacing w:after="0" w:line="480" w:lineRule="auto"/>
            <w:rPr>
              <w:rFonts w:ascii="Times New Roman" w:hAnsi="Times New Roman" w:cs="Times New Roman"/>
              <w:noProof/>
              <w:sz w:val="24"/>
              <w:szCs w:val="24"/>
            </w:rPr>
          </w:pPr>
          <w:hyperlink w:anchor="_Toc228614532" w:history="1">
            <w:r w:rsidRPr="007B0F9C">
              <w:rPr>
                <w:rStyle w:val="Hyperlink"/>
                <w:rFonts w:ascii="Times New Roman" w:eastAsia="Times New Roman" w:hAnsi="Times New Roman" w:cs="Times New Roman"/>
                <w:noProof/>
                <w:sz w:val="24"/>
                <w:szCs w:val="24"/>
              </w:rPr>
              <w:t>Jabri</w:t>
            </w:r>
            <w:r w:rsidRPr="007B0F9C">
              <w:rPr>
                <w:rFonts w:ascii="Times New Roman" w:hAnsi="Times New Roman" w:cs="Times New Roman"/>
                <w:noProof/>
                <w:webHidden/>
                <w:sz w:val="24"/>
                <w:szCs w:val="24"/>
              </w:rPr>
              <w:tab/>
            </w:r>
            <w:r w:rsidRPr="007B0F9C">
              <w:rPr>
                <w:rFonts w:ascii="Times New Roman" w:hAnsi="Times New Roman" w:cs="Times New Roman"/>
                <w:noProof/>
                <w:webHidden/>
                <w:sz w:val="24"/>
                <w:szCs w:val="24"/>
              </w:rPr>
              <w:fldChar w:fldCharType="begin"/>
            </w:r>
            <w:r w:rsidRPr="007B0F9C">
              <w:rPr>
                <w:rFonts w:ascii="Times New Roman" w:hAnsi="Times New Roman" w:cs="Times New Roman"/>
                <w:noProof/>
                <w:webHidden/>
                <w:sz w:val="24"/>
                <w:szCs w:val="24"/>
              </w:rPr>
              <w:instrText xml:space="preserve"> PAGEREF _Toc228614532 \h </w:instrText>
            </w:r>
            <w:r w:rsidRPr="007B0F9C">
              <w:rPr>
                <w:rFonts w:ascii="Times New Roman" w:hAnsi="Times New Roman" w:cs="Times New Roman"/>
                <w:noProof/>
                <w:webHidden/>
                <w:sz w:val="24"/>
                <w:szCs w:val="24"/>
              </w:rPr>
            </w:r>
            <w:r w:rsidRPr="007B0F9C">
              <w:rPr>
                <w:rFonts w:ascii="Times New Roman" w:hAnsi="Times New Roman" w:cs="Times New Roman"/>
                <w:noProof/>
                <w:webHidden/>
                <w:sz w:val="24"/>
                <w:szCs w:val="24"/>
              </w:rPr>
              <w:fldChar w:fldCharType="separate"/>
            </w:r>
            <w:r w:rsidRPr="007B0F9C">
              <w:rPr>
                <w:rFonts w:ascii="Times New Roman" w:hAnsi="Times New Roman" w:cs="Times New Roman"/>
                <w:noProof/>
                <w:webHidden/>
                <w:sz w:val="24"/>
                <w:szCs w:val="24"/>
              </w:rPr>
              <w:t>7</w:t>
            </w:r>
            <w:r w:rsidRPr="007B0F9C">
              <w:rPr>
                <w:rFonts w:ascii="Times New Roman" w:hAnsi="Times New Roman" w:cs="Times New Roman"/>
                <w:noProof/>
                <w:webHidden/>
                <w:sz w:val="24"/>
                <w:szCs w:val="24"/>
              </w:rPr>
              <w:fldChar w:fldCharType="end"/>
            </w:r>
          </w:hyperlink>
        </w:p>
        <w:p w:rsidR="007B0F9C" w:rsidRPr="007B0F9C" w:rsidRDefault="007B0F9C" w:rsidP="007B0F9C">
          <w:pPr>
            <w:pStyle w:val="TOC1"/>
            <w:tabs>
              <w:tab w:val="right" w:leader="dot" w:pos="9350"/>
            </w:tabs>
            <w:spacing w:after="0" w:line="480" w:lineRule="auto"/>
            <w:rPr>
              <w:rFonts w:ascii="Times New Roman" w:hAnsi="Times New Roman" w:cs="Times New Roman"/>
              <w:noProof/>
              <w:sz w:val="24"/>
              <w:szCs w:val="24"/>
            </w:rPr>
          </w:pPr>
          <w:hyperlink w:anchor="_Toc228614533" w:history="1">
            <w:r w:rsidRPr="007B0F9C">
              <w:rPr>
                <w:rStyle w:val="Hyperlink"/>
                <w:rFonts w:ascii="Times New Roman" w:eastAsia="Times New Roman" w:hAnsi="Times New Roman" w:cs="Times New Roman"/>
                <w:noProof/>
                <w:sz w:val="24"/>
                <w:szCs w:val="24"/>
              </w:rPr>
              <w:t>Recommendations</w:t>
            </w:r>
            <w:r w:rsidRPr="007B0F9C">
              <w:rPr>
                <w:rFonts w:ascii="Times New Roman" w:hAnsi="Times New Roman" w:cs="Times New Roman"/>
                <w:noProof/>
                <w:webHidden/>
                <w:sz w:val="24"/>
                <w:szCs w:val="24"/>
              </w:rPr>
              <w:tab/>
            </w:r>
            <w:r w:rsidRPr="007B0F9C">
              <w:rPr>
                <w:rFonts w:ascii="Times New Roman" w:hAnsi="Times New Roman" w:cs="Times New Roman"/>
                <w:noProof/>
                <w:webHidden/>
                <w:sz w:val="24"/>
                <w:szCs w:val="24"/>
              </w:rPr>
              <w:fldChar w:fldCharType="begin"/>
            </w:r>
            <w:r w:rsidRPr="007B0F9C">
              <w:rPr>
                <w:rFonts w:ascii="Times New Roman" w:hAnsi="Times New Roman" w:cs="Times New Roman"/>
                <w:noProof/>
                <w:webHidden/>
                <w:sz w:val="24"/>
                <w:szCs w:val="24"/>
              </w:rPr>
              <w:instrText xml:space="preserve"> PAGEREF _Toc228614533 \h </w:instrText>
            </w:r>
            <w:r w:rsidRPr="007B0F9C">
              <w:rPr>
                <w:rFonts w:ascii="Times New Roman" w:hAnsi="Times New Roman" w:cs="Times New Roman"/>
                <w:noProof/>
                <w:webHidden/>
                <w:sz w:val="24"/>
                <w:szCs w:val="24"/>
              </w:rPr>
            </w:r>
            <w:r w:rsidRPr="007B0F9C">
              <w:rPr>
                <w:rFonts w:ascii="Times New Roman" w:hAnsi="Times New Roman" w:cs="Times New Roman"/>
                <w:noProof/>
                <w:webHidden/>
                <w:sz w:val="24"/>
                <w:szCs w:val="24"/>
              </w:rPr>
              <w:fldChar w:fldCharType="separate"/>
            </w:r>
            <w:r w:rsidRPr="007B0F9C">
              <w:rPr>
                <w:rFonts w:ascii="Times New Roman" w:hAnsi="Times New Roman" w:cs="Times New Roman"/>
                <w:noProof/>
                <w:webHidden/>
                <w:sz w:val="24"/>
                <w:szCs w:val="24"/>
              </w:rPr>
              <w:t>9</w:t>
            </w:r>
            <w:r w:rsidRPr="007B0F9C">
              <w:rPr>
                <w:rFonts w:ascii="Times New Roman" w:hAnsi="Times New Roman" w:cs="Times New Roman"/>
                <w:noProof/>
                <w:webHidden/>
                <w:sz w:val="24"/>
                <w:szCs w:val="24"/>
              </w:rPr>
              <w:fldChar w:fldCharType="end"/>
            </w:r>
          </w:hyperlink>
        </w:p>
        <w:p w:rsidR="007B0F9C" w:rsidRPr="007B0F9C" w:rsidRDefault="007B0F9C" w:rsidP="007B0F9C">
          <w:pPr>
            <w:pStyle w:val="TOC1"/>
            <w:tabs>
              <w:tab w:val="right" w:leader="dot" w:pos="9350"/>
            </w:tabs>
            <w:spacing w:after="0" w:line="480" w:lineRule="auto"/>
            <w:rPr>
              <w:rFonts w:ascii="Times New Roman" w:hAnsi="Times New Roman" w:cs="Times New Roman"/>
              <w:noProof/>
              <w:sz w:val="24"/>
              <w:szCs w:val="24"/>
            </w:rPr>
          </w:pPr>
          <w:hyperlink w:anchor="_Toc228614534" w:history="1">
            <w:r w:rsidRPr="007B0F9C">
              <w:rPr>
                <w:rStyle w:val="Hyperlink"/>
                <w:rFonts w:ascii="Times New Roman" w:eastAsia="Times New Roman" w:hAnsi="Times New Roman" w:cs="Times New Roman"/>
                <w:noProof/>
                <w:sz w:val="24"/>
                <w:szCs w:val="24"/>
              </w:rPr>
              <w:t>Conclusion</w:t>
            </w:r>
            <w:r w:rsidRPr="007B0F9C">
              <w:rPr>
                <w:rFonts w:ascii="Times New Roman" w:hAnsi="Times New Roman" w:cs="Times New Roman"/>
                <w:noProof/>
                <w:webHidden/>
                <w:sz w:val="24"/>
                <w:szCs w:val="24"/>
              </w:rPr>
              <w:tab/>
            </w:r>
            <w:r w:rsidRPr="007B0F9C">
              <w:rPr>
                <w:rFonts w:ascii="Times New Roman" w:hAnsi="Times New Roman" w:cs="Times New Roman"/>
                <w:noProof/>
                <w:webHidden/>
                <w:sz w:val="24"/>
                <w:szCs w:val="24"/>
              </w:rPr>
              <w:fldChar w:fldCharType="begin"/>
            </w:r>
            <w:r w:rsidRPr="007B0F9C">
              <w:rPr>
                <w:rFonts w:ascii="Times New Roman" w:hAnsi="Times New Roman" w:cs="Times New Roman"/>
                <w:noProof/>
                <w:webHidden/>
                <w:sz w:val="24"/>
                <w:szCs w:val="24"/>
              </w:rPr>
              <w:instrText xml:space="preserve"> PAGEREF _Toc228614534 \h </w:instrText>
            </w:r>
            <w:r w:rsidRPr="007B0F9C">
              <w:rPr>
                <w:rFonts w:ascii="Times New Roman" w:hAnsi="Times New Roman" w:cs="Times New Roman"/>
                <w:noProof/>
                <w:webHidden/>
                <w:sz w:val="24"/>
                <w:szCs w:val="24"/>
              </w:rPr>
            </w:r>
            <w:r w:rsidRPr="007B0F9C">
              <w:rPr>
                <w:rFonts w:ascii="Times New Roman" w:hAnsi="Times New Roman" w:cs="Times New Roman"/>
                <w:noProof/>
                <w:webHidden/>
                <w:sz w:val="24"/>
                <w:szCs w:val="24"/>
              </w:rPr>
              <w:fldChar w:fldCharType="separate"/>
            </w:r>
            <w:r w:rsidRPr="007B0F9C">
              <w:rPr>
                <w:rFonts w:ascii="Times New Roman" w:hAnsi="Times New Roman" w:cs="Times New Roman"/>
                <w:noProof/>
                <w:webHidden/>
                <w:sz w:val="24"/>
                <w:szCs w:val="24"/>
              </w:rPr>
              <w:t>10</w:t>
            </w:r>
            <w:r w:rsidRPr="007B0F9C">
              <w:rPr>
                <w:rFonts w:ascii="Times New Roman" w:hAnsi="Times New Roman" w:cs="Times New Roman"/>
                <w:noProof/>
                <w:webHidden/>
                <w:sz w:val="24"/>
                <w:szCs w:val="24"/>
              </w:rPr>
              <w:fldChar w:fldCharType="end"/>
            </w:r>
          </w:hyperlink>
        </w:p>
        <w:p w:rsidR="007B0F9C" w:rsidRPr="007B0F9C" w:rsidRDefault="007B0F9C" w:rsidP="007B0F9C">
          <w:pPr>
            <w:pStyle w:val="TOC1"/>
            <w:tabs>
              <w:tab w:val="right" w:leader="dot" w:pos="9350"/>
            </w:tabs>
            <w:spacing w:after="0" w:line="480" w:lineRule="auto"/>
            <w:rPr>
              <w:rFonts w:ascii="Times New Roman" w:hAnsi="Times New Roman" w:cs="Times New Roman"/>
              <w:noProof/>
              <w:sz w:val="24"/>
              <w:szCs w:val="24"/>
            </w:rPr>
          </w:pPr>
          <w:hyperlink w:anchor="_Toc228614535" w:history="1">
            <w:r w:rsidRPr="007B0F9C">
              <w:rPr>
                <w:rStyle w:val="Hyperlink"/>
                <w:rFonts w:ascii="Times New Roman" w:eastAsia="Times New Roman" w:hAnsi="Times New Roman" w:cs="Times New Roman"/>
                <w:noProof/>
                <w:sz w:val="24"/>
                <w:szCs w:val="24"/>
              </w:rPr>
              <w:t>Bibliography</w:t>
            </w:r>
            <w:r w:rsidRPr="007B0F9C">
              <w:rPr>
                <w:rFonts w:ascii="Times New Roman" w:hAnsi="Times New Roman" w:cs="Times New Roman"/>
                <w:noProof/>
                <w:webHidden/>
                <w:sz w:val="24"/>
                <w:szCs w:val="24"/>
              </w:rPr>
              <w:tab/>
            </w:r>
            <w:r w:rsidRPr="007B0F9C">
              <w:rPr>
                <w:rFonts w:ascii="Times New Roman" w:hAnsi="Times New Roman" w:cs="Times New Roman"/>
                <w:noProof/>
                <w:webHidden/>
                <w:sz w:val="24"/>
                <w:szCs w:val="24"/>
              </w:rPr>
              <w:fldChar w:fldCharType="begin"/>
            </w:r>
            <w:r w:rsidRPr="007B0F9C">
              <w:rPr>
                <w:rFonts w:ascii="Times New Roman" w:hAnsi="Times New Roman" w:cs="Times New Roman"/>
                <w:noProof/>
                <w:webHidden/>
                <w:sz w:val="24"/>
                <w:szCs w:val="24"/>
              </w:rPr>
              <w:instrText xml:space="preserve"> PAGEREF _Toc228614535 \h </w:instrText>
            </w:r>
            <w:r w:rsidRPr="007B0F9C">
              <w:rPr>
                <w:rFonts w:ascii="Times New Roman" w:hAnsi="Times New Roman" w:cs="Times New Roman"/>
                <w:noProof/>
                <w:webHidden/>
                <w:sz w:val="24"/>
                <w:szCs w:val="24"/>
              </w:rPr>
            </w:r>
            <w:r w:rsidRPr="007B0F9C">
              <w:rPr>
                <w:rFonts w:ascii="Times New Roman" w:hAnsi="Times New Roman" w:cs="Times New Roman"/>
                <w:noProof/>
                <w:webHidden/>
                <w:sz w:val="24"/>
                <w:szCs w:val="24"/>
              </w:rPr>
              <w:fldChar w:fldCharType="separate"/>
            </w:r>
            <w:r w:rsidRPr="007B0F9C">
              <w:rPr>
                <w:rFonts w:ascii="Times New Roman" w:hAnsi="Times New Roman" w:cs="Times New Roman"/>
                <w:noProof/>
                <w:webHidden/>
                <w:sz w:val="24"/>
                <w:szCs w:val="24"/>
              </w:rPr>
              <w:t>12</w:t>
            </w:r>
            <w:r w:rsidRPr="007B0F9C">
              <w:rPr>
                <w:rFonts w:ascii="Times New Roman" w:hAnsi="Times New Roman" w:cs="Times New Roman"/>
                <w:noProof/>
                <w:webHidden/>
                <w:sz w:val="24"/>
                <w:szCs w:val="24"/>
              </w:rPr>
              <w:fldChar w:fldCharType="end"/>
            </w:r>
          </w:hyperlink>
        </w:p>
        <w:p w:rsidR="007B0F9C" w:rsidRDefault="007B0F9C" w:rsidP="007B0F9C">
          <w:pPr>
            <w:spacing w:after="0" w:line="480" w:lineRule="auto"/>
          </w:pPr>
          <w:r w:rsidRPr="007B0F9C">
            <w:rPr>
              <w:rFonts w:ascii="Times New Roman" w:hAnsi="Times New Roman" w:cs="Times New Roman"/>
              <w:b/>
              <w:bCs/>
              <w:noProof/>
              <w:sz w:val="24"/>
              <w:szCs w:val="24"/>
            </w:rPr>
            <w:fldChar w:fldCharType="end"/>
          </w:r>
        </w:p>
      </w:sdtContent>
    </w:sdt>
    <w:p w:rsidR="007B0F9C" w:rsidRDefault="007B0F9C" w:rsidP="007B0F9C">
      <w:pPr>
        <w:pStyle w:val="Heading1"/>
        <w:spacing w:before="0" w:line="480" w:lineRule="auto"/>
        <w:rPr>
          <w:rFonts w:eastAsia="Times New Roman"/>
        </w:rPr>
      </w:pPr>
    </w:p>
    <w:p w:rsidR="007B0F9C" w:rsidRDefault="007B0F9C">
      <w:pPr>
        <w:rPr>
          <w:rFonts w:ascii="Times New Roman" w:eastAsia="Times New Roman" w:hAnsi="Times New Roman" w:cstheme="majorBidi"/>
          <w:b/>
          <w:i/>
          <w:color w:val="000000" w:themeColor="text1"/>
          <w:sz w:val="24"/>
          <w:szCs w:val="32"/>
        </w:rPr>
      </w:pPr>
      <w:r>
        <w:rPr>
          <w:rFonts w:eastAsia="Times New Roman"/>
        </w:rPr>
        <w:br w:type="page"/>
      </w:r>
    </w:p>
    <w:p w:rsidR="00AC018F" w:rsidRPr="00AC018F" w:rsidRDefault="00AC018F" w:rsidP="007B0F9C">
      <w:pPr>
        <w:pStyle w:val="Heading1"/>
        <w:spacing w:before="0" w:line="480" w:lineRule="auto"/>
        <w:rPr>
          <w:rFonts w:eastAsia="Times New Roman"/>
        </w:rPr>
      </w:pPr>
      <w:bookmarkStart w:id="1" w:name="_Toc228614528"/>
      <w:r w:rsidRPr="00AC018F">
        <w:rPr>
          <w:rFonts w:eastAsia="Times New Roman"/>
        </w:rPr>
        <w:lastRenderedPageBreak/>
        <w:t>Introduction</w:t>
      </w:r>
      <w:bookmarkEnd w:id="1"/>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Courts Guyana Inc. is a structured retail business that must constantly adapt to changes in customer expectations, competition, and accelerated </w:t>
      </w:r>
      <w:proofErr w:type="spellStart"/>
      <w:r w:rsidRPr="007B0F9C">
        <w:rPr>
          <w:rFonts w:ascii="Times New Roman" w:eastAsia="Times New Roman" w:hAnsi="Times New Roman" w:cs="Times New Roman"/>
          <w:sz w:val="24"/>
          <w:szCs w:val="24"/>
        </w:rPr>
        <w:t>digitalisation</w:t>
      </w:r>
      <w:proofErr w:type="spellEnd"/>
      <w:r w:rsidRPr="007B0F9C">
        <w:rPr>
          <w:rFonts w:ascii="Times New Roman" w:eastAsia="Times New Roman" w:hAnsi="Times New Roman" w:cs="Times New Roman"/>
          <w:sz w:val="24"/>
          <w:szCs w:val="24"/>
        </w:rPr>
        <w:t xml:space="preserve">. In this respect, </w:t>
      </w:r>
      <w:proofErr w:type="spellStart"/>
      <w:r w:rsidRPr="007B0F9C">
        <w:rPr>
          <w:rFonts w:ascii="Times New Roman" w:eastAsia="Times New Roman" w:hAnsi="Times New Roman" w:cs="Times New Roman"/>
          <w:sz w:val="24"/>
          <w:szCs w:val="24"/>
        </w:rPr>
        <w:t>organisational</w:t>
      </w:r>
      <w:proofErr w:type="spellEnd"/>
      <w:r w:rsidRPr="007B0F9C">
        <w:rPr>
          <w:rFonts w:ascii="Times New Roman" w:eastAsia="Times New Roman" w:hAnsi="Times New Roman" w:cs="Times New Roman"/>
          <w:sz w:val="24"/>
          <w:szCs w:val="24"/>
        </w:rPr>
        <w:t xml:space="preserve"> change management becomes an actual need in fostering creativity, innovation, and entrepreneurship across the board. Directives do not often succeed in changing initiatives in such </w:t>
      </w:r>
      <w:proofErr w:type="spellStart"/>
      <w:r w:rsidRPr="007B0F9C">
        <w:rPr>
          <w:rFonts w:ascii="Times New Roman" w:eastAsia="Times New Roman" w:hAnsi="Times New Roman" w:cs="Times New Roman"/>
          <w:sz w:val="24"/>
          <w:szCs w:val="24"/>
        </w:rPr>
        <w:t>organisations</w:t>
      </w:r>
      <w:proofErr w:type="spellEnd"/>
      <w:r w:rsidRPr="007B0F9C">
        <w:rPr>
          <w:rFonts w:ascii="Times New Roman" w:eastAsia="Times New Roman" w:hAnsi="Times New Roman" w:cs="Times New Roman"/>
          <w:sz w:val="24"/>
          <w:szCs w:val="24"/>
        </w:rPr>
        <w:t xml:space="preserve">, since employees perceive change through their everyday working realities, the available resources, and their trust in leadership support. Thus, T patch explores how Courts Guyana Inc. can approach the change process in a disciplined and socially conscious manner through course frameworks that facilitate contextual fit, stakeholder alignment, and sustainability. </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pStyle w:val="Heading1"/>
        <w:spacing w:before="0" w:line="480" w:lineRule="auto"/>
        <w:rPr>
          <w:rFonts w:eastAsia="Times New Roman"/>
        </w:rPr>
      </w:pPr>
      <w:bookmarkStart w:id="2" w:name="_Toc228614529"/>
      <w:r w:rsidRPr="007B0F9C">
        <w:rPr>
          <w:rFonts w:eastAsia="Times New Roman"/>
        </w:rPr>
        <w:t>Overview of Courts Guyana Inc. in the Context of Patch 2</w:t>
      </w:r>
      <w:bookmarkEnd w:id="2"/>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Courts Guyana Inc. is a retail company that supplies furniture and appliances to a wide range of customers, where the reliability and responsiveness of its services determine its competitiveness. Furthermore, internal </w:t>
      </w:r>
      <w:proofErr w:type="spellStart"/>
      <w:r w:rsidRPr="007B0F9C">
        <w:rPr>
          <w:rFonts w:ascii="Times New Roman" w:eastAsia="Times New Roman" w:hAnsi="Times New Roman" w:cs="Times New Roman"/>
          <w:sz w:val="24"/>
          <w:szCs w:val="24"/>
        </w:rPr>
        <w:t>organisational</w:t>
      </w:r>
      <w:proofErr w:type="spellEnd"/>
      <w:r w:rsidRPr="007B0F9C">
        <w:rPr>
          <w:rFonts w:ascii="Times New Roman" w:eastAsia="Times New Roman" w:hAnsi="Times New Roman" w:cs="Times New Roman"/>
          <w:sz w:val="24"/>
          <w:szCs w:val="24"/>
        </w:rPr>
        <w:t xml:space="preserve"> intelligence suggests that the company is highly focused on structure, targets and conventional modes of operation and that creativity, innovativeness and entrepreneurship are not always encouraged at every tier. This indicates that Courts can encounter difficulties in establishing change preparedness since organized settings can be based on the routine and foreseeable performance standards. Moreover, culture is generally comparable across the Caribbean, whereas operations in Latin America are seen as more developed, suggesting that the ability to change and maturity can differ across the broader network. This implies that Courts Guyana Inc. must adopt a change process strategy that is intentional and grounded in its local context, enhancing adoption potential and promoting lasting </w:t>
      </w:r>
      <w:proofErr w:type="spellStart"/>
      <w:r w:rsidRPr="007B0F9C">
        <w:rPr>
          <w:rFonts w:ascii="Times New Roman" w:eastAsia="Times New Roman" w:hAnsi="Times New Roman" w:cs="Times New Roman"/>
          <w:sz w:val="24"/>
          <w:szCs w:val="24"/>
        </w:rPr>
        <w:lastRenderedPageBreak/>
        <w:t>behaviour</w:t>
      </w:r>
      <w:proofErr w:type="spellEnd"/>
      <w:r w:rsidRPr="007B0F9C">
        <w:rPr>
          <w:rFonts w:ascii="Times New Roman" w:eastAsia="Times New Roman" w:hAnsi="Times New Roman" w:cs="Times New Roman"/>
          <w:sz w:val="24"/>
          <w:szCs w:val="24"/>
        </w:rPr>
        <w:t xml:space="preserve"> change rather than informal adaptation. This patch assesses the fit between change process frameworks and Courts Guyana Inc., and how managerial efforts can convert change intent into a consistent </w:t>
      </w:r>
      <w:proofErr w:type="spellStart"/>
      <w:r w:rsidRPr="007B0F9C">
        <w:rPr>
          <w:rFonts w:ascii="Times New Roman" w:eastAsia="Times New Roman" w:hAnsi="Times New Roman" w:cs="Times New Roman"/>
          <w:sz w:val="24"/>
          <w:szCs w:val="24"/>
        </w:rPr>
        <w:t>organisational</w:t>
      </w:r>
      <w:proofErr w:type="spellEnd"/>
      <w:r w:rsidRPr="007B0F9C">
        <w:rPr>
          <w:rFonts w:ascii="Times New Roman" w:eastAsia="Times New Roman" w:hAnsi="Times New Roman" w:cs="Times New Roman"/>
          <w:sz w:val="24"/>
          <w:szCs w:val="24"/>
        </w:rPr>
        <w:t xml:space="preserve"> practice. So, the patch goal is to relate course structures to </w:t>
      </w:r>
      <w:proofErr w:type="spellStart"/>
      <w:r w:rsidRPr="007B0F9C">
        <w:rPr>
          <w:rFonts w:ascii="Times New Roman" w:eastAsia="Times New Roman" w:hAnsi="Times New Roman" w:cs="Times New Roman"/>
          <w:sz w:val="24"/>
          <w:szCs w:val="24"/>
        </w:rPr>
        <w:t>organisational</w:t>
      </w:r>
      <w:proofErr w:type="spellEnd"/>
      <w:r w:rsidRPr="007B0F9C">
        <w:rPr>
          <w:rFonts w:ascii="Times New Roman" w:eastAsia="Times New Roman" w:hAnsi="Times New Roman" w:cs="Times New Roman"/>
          <w:sz w:val="24"/>
          <w:szCs w:val="24"/>
        </w:rPr>
        <w:t xml:space="preserve"> </w:t>
      </w:r>
      <w:proofErr w:type="spellStart"/>
      <w:r w:rsidRPr="007B0F9C">
        <w:rPr>
          <w:rFonts w:ascii="Times New Roman" w:eastAsia="Times New Roman" w:hAnsi="Times New Roman" w:cs="Times New Roman"/>
          <w:sz w:val="24"/>
          <w:szCs w:val="24"/>
        </w:rPr>
        <w:t>behaviours</w:t>
      </w:r>
      <w:proofErr w:type="spellEnd"/>
      <w:r w:rsidRPr="007B0F9C">
        <w:rPr>
          <w:rFonts w:ascii="Times New Roman" w:eastAsia="Times New Roman" w:hAnsi="Times New Roman" w:cs="Times New Roman"/>
          <w:sz w:val="24"/>
          <w:szCs w:val="24"/>
        </w:rPr>
        <w:t xml:space="preserve"> that develop acceptance, engagement, and sustainable execution.</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pStyle w:val="Heading1"/>
        <w:spacing w:before="0" w:line="480" w:lineRule="auto"/>
        <w:rPr>
          <w:rFonts w:eastAsia="Times New Roman"/>
        </w:rPr>
      </w:pPr>
      <w:bookmarkStart w:id="3" w:name="_Toc228614530"/>
      <w:r w:rsidRPr="007B0F9C">
        <w:rPr>
          <w:rFonts w:eastAsia="Times New Roman"/>
        </w:rPr>
        <w:t>Change process</w:t>
      </w:r>
      <w:bookmarkEnd w:id="3"/>
    </w:p>
    <w:p w:rsidR="007B0F9C" w:rsidRPr="007B0F9C" w:rsidRDefault="007B0F9C" w:rsidP="007B0F9C">
      <w:pPr>
        <w:pStyle w:val="Heading2"/>
        <w:spacing w:before="0" w:beforeAutospacing="0" w:after="0" w:afterAutospacing="0" w:line="480" w:lineRule="auto"/>
      </w:pPr>
      <w:bookmarkStart w:id="4" w:name="_Toc228614531"/>
      <w:r w:rsidRPr="007B0F9C">
        <w:t>The Kaleidoscope Model</w:t>
      </w:r>
      <w:bookmarkEnd w:id="4"/>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Courts are compatible with the Kaleidoscope Model in that they view change as a context-specific design problem rather than a one-size-fits-all solution. Furthermore, courts work with high structure, high-performance expectations, which are potentially conducive to discipline, though may also constitute rigidity when change is felt disruptive or threatening. </w:t>
      </w:r>
      <w:proofErr w:type="spellStart"/>
      <w:r w:rsidRPr="007B0F9C">
        <w:rPr>
          <w:rFonts w:ascii="Times New Roman" w:eastAsia="Times New Roman" w:hAnsi="Times New Roman" w:cs="Times New Roman"/>
          <w:sz w:val="24"/>
          <w:szCs w:val="24"/>
        </w:rPr>
        <w:t>Mutambik</w:t>
      </w:r>
      <w:proofErr w:type="spellEnd"/>
      <w:r w:rsidRPr="007B0F9C">
        <w:rPr>
          <w:rFonts w:ascii="Times New Roman" w:eastAsia="Times New Roman" w:hAnsi="Times New Roman" w:cs="Times New Roman"/>
          <w:sz w:val="24"/>
          <w:szCs w:val="24"/>
        </w:rPr>
        <w:t xml:space="preserve"> and </w:t>
      </w:r>
      <w:proofErr w:type="spellStart"/>
      <w:r w:rsidRPr="007B0F9C">
        <w:rPr>
          <w:rFonts w:ascii="Times New Roman" w:eastAsia="Times New Roman" w:hAnsi="Times New Roman" w:cs="Times New Roman"/>
          <w:sz w:val="24"/>
          <w:szCs w:val="24"/>
        </w:rPr>
        <w:t>Almuqrin</w:t>
      </w:r>
      <w:proofErr w:type="spellEnd"/>
      <w:r w:rsidRPr="007B0F9C">
        <w:rPr>
          <w:rFonts w:ascii="Times New Roman" w:eastAsia="Times New Roman" w:hAnsi="Times New Roman" w:cs="Times New Roman"/>
          <w:sz w:val="24"/>
          <w:szCs w:val="24"/>
        </w:rPr>
        <w:t xml:space="preserve"> (2024) found that acceptance is enhanced by perceived advantages and management support and decreased by complexity and inertia. This shows that the </w:t>
      </w:r>
      <w:proofErr w:type="spellStart"/>
      <w:r w:rsidRPr="007B0F9C">
        <w:rPr>
          <w:rFonts w:ascii="Times New Roman" w:eastAsia="Times New Roman" w:hAnsi="Times New Roman" w:cs="Times New Roman"/>
          <w:sz w:val="24"/>
          <w:szCs w:val="24"/>
        </w:rPr>
        <w:t>organisation</w:t>
      </w:r>
      <w:proofErr w:type="spellEnd"/>
      <w:r w:rsidRPr="007B0F9C">
        <w:rPr>
          <w:rFonts w:ascii="Times New Roman" w:eastAsia="Times New Roman" w:hAnsi="Times New Roman" w:cs="Times New Roman"/>
          <w:sz w:val="24"/>
          <w:szCs w:val="24"/>
        </w:rPr>
        <w:t xml:space="preserve"> needs to address change design decisions to ensure benefits are </w:t>
      </w:r>
      <w:proofErr w:type="spellStart"/>
      <w:r w:rsidRPr="007B0F9C">
        <w:rPr>
          <w:rFonts w:ascii="Times New Roman" w:eastAsia="Times New Roman" w:hAnsi="Times New Roman" w:cs="Times New Roman"/>
          <w:sz w:val="24"/>
          <w:szCs w:val="24"/>
        </w:rPr>
        <w:t>realised</w:t>
      </w:r>
      <w:proofErr w:type="spellEnd"/>
      <w:r w:rsidRPr="007B0F9C">
        <w:rPr>
          <w:rFonts w:ascii="Times New Roman" w:eastAsia="Times New Roman" w:hAnsi="Times New Roman" w:cs="Times New Roman"/>
          <w:sz w:val="24"/>
          <w:szCs w:val="24"/>
        </w:rPr>
        <w:t xml:space="preserve"> and to avoid unreasonable complexity that could cause resistance. </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Moreover, Courts should manage time so that employees have enough time to learn and adjust. The reason why change should not be rushed is that the </w:t>
      </w:r>
      <w:proofErr w:type="spellStart"/>
      <w:r w:rsidRPr="007B0F9C">
        <w:rPr>
          <w:rFonts w:ascii="Times New Roman" w:eastAsia="Times New Roman" w:hAnsi="Times New Roman" w:cs="Times New Roman"/>
          <w:sz w:val="24"/>
          <w:szCs w:val="24"/>
        </w:rPr>
        <w:t>organisation</w:t>
      </w:r>
      <w:proofErr w:type="spellEnd"/>
      <w:r w:rsidRPr="007B0F9C">
        <w:rPr>
          <w:rFonts w:ascii="Times New Roman" w:eastAsia="Times New Roman" w:hAnsi="Times New Roman" w:cs="Times New Roman"/>
          <w:sz w:val="24"/>
          <w:szCs w:val="24"/>
        </w:rPr>
        <w:t xml:space="preserve"> wants quick results. Pressure may be heightened when employees are required to learn new routines while still achieving daily targets. </w:t>
      </w:r>
      <w:proofErr w:type="spellStart"/>
      <w:r w:rsidRPr="007B0F9C">
        <w:rPr>
          <w:rFonts w:ascii="Times New Roman" w:eastAsia="Times New Roman" w:hAnsi="Times New Roman" w:cs="Times New Roman"/>
          <w:sz w:val="24"/>
          <w:szCs w:val="24"/>
        </w:rPr>
        <w:t>Makowska</w:t>
      </w:r>
      <w:proofErr w:type="spellEnd"/>
      <w:r w:rsidRPr="007B0F9C">
        <w:rPr>
          <w:rFonts w:ascii="Times New Roman" w:eastAsia="Times New Roman" w:hAnsi="Times New Roman" w:cs="Times New Roman"/>
          <w:sz w:val="24"/>
          <w:szCs w:val="24"/>
        </w:rPr>
        <w:t xml:space="preserve"> </w:t>
      </w:r>
      <w:proofErr w:type="spellStart"/>
      <w:r w:rsidRPr="007B0F9C">
        <w:rPr>
          <w:rFonts w:ascii="Times New Roman" w:eastAsia="Times New Roman" w:hAnsi="Times New Roman" w:cs="Times New Roman"/>
          <w:sz w:val="24"/>
          <w:szCs w:val="24"/>
        </w:rPr>
        <w:t>Tlomak</w:t>
      </w:r>
      <w:proofErr w:type="spellEnd"/>
      <w:r w:rsidRPr="007B0F9C">
        <w:rPr>
          <w:rFonts w:ascii="Times New Roman" w:eastAsia="Times New Roman" w:hAnsi="Times New Roman" w:cs="Times New Roman"/>
          <w:sz w:val="24"/>
          <w:szCs w:val="24"/>
        </w:rPr>
        <w:t xml:space="preserve"> et al. (2023) discovered that time pressure and uncertainty, and not weak digital skills, can be a source of digital transformation stress. This demonstrates that even competent employees may fail if the change is not implemented at the right time. Albrecht et al. (2022) also discovered that the opportunity to learn and having clear </w:t>
      </w:r>
      <w:r w:rsidRPr="007B0F9C">
        <w:rPr>
          <w:rFonts w:ascii="Times New Roman" w:eastAsia="Times New Roman" w:hAnsi="Times New Roman" w:cs="Times New Roman"/>
          <w:sz w:val="24"/>
          <w:szCs w:val="24"/>
        </w:rPr>
        <w:lastRenderedPageBreak/>
        <w:t>information facilitates engagement with change. It implies that Courts ought to employ gradual schedules that involve training, reviewing moments and acclimatization.</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Similarly, Courts need to ensure that the extent of change is established at the outset. Employees should understand what will be changed, what will remain the same, and what they should expect. </w:t>
      </w:r>
      <w:proofErr w:type="spellStart"/>
      <w:r w:rsidRPr="007B0F9C">
        <w:rPr>
          <w:rFonts w:ascii="Times New Roman" w:eastAsia="Times New Roman" w:hAnsi="Times New Roman" w:cs="Times New Roman"/>
          <w:sz w:val="24"/>
          <w:szCs w:val="24"/>
        </w:rPr>
        <w:t>Mutambik</w:t>
      </w:r>
      <w:proofErr w:type="spellEnd"/>
      <w:r w:rsidRPr="007B0F9C">
        <w:rPr>
          <w:rFonts w:ascii="Times New Roman" w:eastAsia="Times New Roman" w:hAnsi="Times New Roman" w:cs="Times New Roman"/>
          <w:sz w:val="24"/>
          <w:szCs w:val="24"/>
        </w:rPr>
        <w:t xml:space="preserve"> and </w:t>
      </w:r>
      <w:proofErr w:type="spellStart"/>
      <w:r w:rsidRPr="007B0F9C">
        <w:rPr>
          <w:rFonts w:ascii="Times New Roman" w:eastAsia="Times New Roman" w:hAnsi="Times New Roman" w:cs="Times New Roman"/>
          <w:sz w:val="24"/>
          <w:szCs w:val="24"/>
        </w:rPr>
        <w:t>Almuqrin</w:t>
      </w:r>
      <w:proofErr w:type="spellEnd"/>
      <w:r w:rsidRPr="007B0F9C">
        <w:rPr>
          <w:rFonts w:ascii="Times New Roman" w:eastAsia="Times New Roman" w:hAnsi="Times New Roman" w:cs="Times New Roman"/>
          <w:sz w:val="24"/>
          <w:szCs w:val="24"/>
        </w:rPr>
        <w:t xml:space="preserve"> (2024) found that the complexity of a process decreases acceptance, whereas evident benefits and management support enhance acceptance. This demonstrates that ambiguity in change may leave employees lost or opposed. </w:t>
      </w:r>
      <w:proofErr w:type="spellStart"/>
      <w:r w:rsidRPr="007B0F9C">
        <w:rPr>
          <w:rFonts w:ascii="Times New Roman" w:eastAsia="Times New Roman" w:hAnsi="Times New Roman" w:cs="Times New Roman"/>
          <w:sz w:val="24"/>
          <w:szCs w:val="24"/>
        </w:rPr>
        <w:t>Henderikx</w:t>
      </w:r>
      <w:proofErr w:type="spellEnd"/>
      <w:r w:rsidRPr="007B0F9C">
        <w:rPr>
          <w:rFonts w:ascii="Times New Roman" w:eastAsia="Times New Roman" w:hAnsi="Times New Roman" w:cs="Times New Roman"/>
          <w:sz w:val="24"/>
          <w:szCs w:val="24"/>
        </w:rPr>
        <w:t xml:space="preserve"> and </w:t>
      </w:r>
      <w:proofErr w:type="spellStart"/>
      <w:r w:rsidRPr="007B0F9C">
        <w:rPr>
          <w:rFonts w:ascii="Times New Roman" w:eastAsia="Times New Roman" w:hAnsi="Times New Roman" w:cs="Times New Roman"/>
          <w:sz w:val="24"/>
          <w:szCs w:val="24"/>
        </w:rPr>
        <w:t>Stoffers</w:t>
      </w:r>
      <w:proofErr w:type="spellEnd"/>
      <w:r w:rsidRPr="007B0F9C">
        <w:rPr>
          <w:rFonts w:ascii="Times New Roman" w:eastAsia="Times New Roman" w:hAnsi="Times New Roman" w:cs="Times New Roman"/>
          <w:sz w:val="24"/>
          <w:szCs w:val="24"/>
        </w:rPr>
        <w:t xml:space="preserve"> (2023) also discovered that very important when it comes to digital transformation is trust, integrity, and people-focused leadership. This implies that managers must be able to describe change in straightforward, work-based language rather than just technical terms.</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Moreover, Courts need to safeguard the quality of services, the well-being of employees, and trust in the workplace during times of change. Routine should not be eliminated by change as it continues to work well in the </w:t>
      </w:r>
      <w:proofErr w:type="spellStart"/>
      <w:r w:rsidRPr="007B0F9C">
        <w:rPr>
          <w:rFonts w:ascii="Times New Roman" w:eastAsia="Times New Roman" w:hAnsi="Times New Roman" w:cs="Times New Roman"/>
          <w:sz w:val="24"/>
          <w:szCs w:val="24"/>
        </w:rPr>
        <w:t>organisation</w:t>
      </w:r>
      <w:proofErr w:type="spellEnd"/>
      <w:r w:rsidRPr="007B0F9C">
        <w:rPr>
          <w:rFonts w:ascii="Times New Roman" w:eastAsia="Times New Roman" w:hAnsi="Times New Roman" w:cs="Times New Roman"/>
          <w:sz w:val="24"/>
          <w:szCs w:val="24"/>
        </w:rPr>
        <w:t xml:space="preserve">. According to </w:t>
      </w:r>
      <w:proofErr w:type="spellStart"/>
      <w:r w:rsidRPr="007B0F9C">
        <w:rPr>
          <w:rFonts w:ascii="Times New Roman" w:eastAsia="Times New Roman" w:hAnsi="Times New Roman" w:cs="Times New Roman"/>
          <w:sz w:val="24"/>
          <w:szCs w:val="24"/>
        </w:rPr>
        <w:t>Huflejt</w:t>
      </w:r>
      <w:proofErr w:type="spellEnd"/>
      <w:r w:rsidRPr="007B0F9C">
        <w:rPr>
          <w:rFonts w:ascii="Times New Roman" w:eastAsia="Times New Roman" w:hAnsi="Times New Roman" w:cs="Times New Roman"/>
          <w:sz w:val="24"/>
          <w:szCs w:val="24"/>
        </w:rPr>
        <w:t xml:space="preserve"> </w:t>
      </w:r>
      <w:proofErr w:type="spellStart"/>
      <w:r w:rsidRPr="007B0F9C">
        <w:rPr>
          <w:rFonts w:ascii="Times New Roman" w:eastAsia="Times New Roman" w:hAnsi="Times New Roman" w:cs="Times New Roman"/>
          <w:sz w:val="24"/>
          <w:szCs w:val="24"/>
        </w:rPr>
        <w:t>Łukasik</w:t>
      </w:r>
      <w:proofErr w:type="spellEnd"/>
      <w:r w:rsidRPr="007B0F9C">
        <w:rPr>
          <w:rFonts w:ascii="Times New Roman" w:eastAsia="Times New Roman" w:hAnsi="Times New Roman" w:cs="Times New Roman"/>
          <w:sz w:val="24"/>
          <w:szCs w:val="24"/>
        </w:rPr>
        <w:t xml:space="preserve"> et al. (2022), the personal experience of change among employees can sometimes have an impact that is more significant than the actual change. This demonstrates that an otherwise helpful change may appear threatening when the employees do not feel supported. </w:t>
      </w:r>
      <w:proofErr w:type="spellStart"/>
      <w:r w:rsidRPr="007B0F9C">
        <w:rPr>
          <w:rFonts w:ascii="Times New Roman" w:eastAsia="Times New Roman" w:hAnsi="Times New Roman" w:cs="Times New Roman"/>
          <w:sz w:val="24"/>
          <w:szCs w:val="24"/>
        </w:rPr>
        <w:t>Makowska</w:t>
      </w:r>
      <w:proofErr w:type="spellEnd"/>
      <w:r w:rsidRPr="007B0F9C">
        <w:rPr>
          <w:rFonts w:ascii="Times New Roman" w:eastAsia="Times New Roman" w:hAnsi="Times New Roman" w:cs="Times New Roman"/>
          <w:sz w:val="24"/>
          <w:szCs w:val="24"/>
        </w:rPr>
        <w:t xml:space="preserve"> </w:t>
      </w:r>
      <w:proofErr w:type="spellStart"/>
      <w:r w:rsidRPr="007B0F9C">
        <w:rPr>
          <w:rFonts w:ascii="Times New Roman" w:eastAsia="Times New Roman" w:hAnsi="Times New Roman" w:cs="Times New Roman"/>
          <w:sz w:val="24"/>
          <w:szCs w:val="24"/>
        </w:rPr>
        <w:t>Tlowak</w:t>
      </w:r>
      <w:proofErr w:type="spellEnd"/>
      <w:r w:rsidRPr="007B0F9C">
        <w:rPr>
          <w:rFonts w:ascii="Times New Roman" w:eastAsia="Times New Roman" w:hAnsi="Times New Roman" w:cs="Times New Roman"/>
          <w:sz w:val="24"/>
          <w:szCs w:val="24"/>
        </w:rPr>
        <w:t xml:space="preserve"> et al. (2023) associate transformation stress with uncertainty and ineffective implementation as well. This implies that Courts are advised to employ coaching, proper planning and supportive supervision to ensure that employee confidence is safeguarded.</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lastRenderedPageBreak/>
        <w:t xml:space="preserve">Similarly, Courts should </w:t>
      </w:r>
      <w:proofErr w:type="spellStart"/>
      <w:r w:rsidRPr="007B0F9C">
        <w:rPr>
          <w:rFonts w:ascii="Times New Roman" w:eastAsia="Times New Roman" w:hAnsi="Times New Roman" w:cs="Times New Roman"/>
          <w:sz w:val="24"/>
          <w:szCs w:val="24"/>
        </w:rPr>
        <w:t>recognise</w:t>
      </w:r>
      <w:proofErr w:type="spellEnd"/>
      <w:r w:rsidRPr="007B0F9C">
        <w:rPr>
          <w:rFonts w:ascii="Times New Roman" w:eastAsia="Times New Roman" w:hAnsi="Times New Roman" w:cs="Times New Roman"/>
          <w:sz w:val="24"/>
          <w:szCs w:val="24"/>
        </w:rPr>
        <w:t xml:space="preserve"> that different departments may experience change differently. The language, systems, and routines of the sales, delivery, customer service, finance, and warehouse teams might differ. Cunningham et al. (2023) found that operational disconnect may occur when groups lack equal information and communication habits and have weak feedback loops. This demonstrates that change can be disproportionate when different messages are conveyed to each department. The shared feedback systems and cross-department discussions should be supported by the courts to ensure all teams perceive the change in the same way.</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Likewise, Courts should build capability in both employees and managers. Capability does not just mean technical prowess. It also covers confidence, communication, trust and guiding people. </w:t>
      </w:r>
      <w:proofErr w:type="spellStart"/>
      <w:r w:rsidRPr="007B0F9C">
        <w:rPr>
          <w:rFonts w:ascii="Times New Roman" w:eastAsia="Times New Roman" w:hAnsi="Times New Roman" w:cs="Times New Roman"/>
          <w:sz w:val="24"/>
          <w:szCs w:val="24"/>
        </w:rPr>
        <w:t>Henderikx</w:t>
      </w:r>
      <w:proofErr w:type="spellEnd"/>
      <w:r w:rsidRPr="007B0F9C">
        <w:rPr>
          <w:rFonts w:ascii="Times New Roman" w:eastAsia="Times New Roman" w:hAnsi="Times New Roman" w:cs="Times New Roman"/>
          <w:sz w:val="24"/>
          <w:szCs w:val="24"/>
        </w:rPr>
        <w:t xml:space="preserve"> and </w:t>
      </w:r>
      <w:proofErr w:type="spellStart"/>
      <w:r w:rsidRPr="007B0F9C">
        <w:rPr>
          <w:rFonts w:ascii="Times New Roman" w:eastAsia="Times New Roman" w:hAnsi="Times New Roman" w:cs="Times New Roman"/>
          <w:sz w:val="24"/>
          <w:szCs w:val="24"/>
        </w:rPr>
        <w:t>Stoffers</w:t>
      </w:r>
      <w:proofErr w:type="spellEnd"/>
      <w:r w:rsidRPr="007B0F9C">
        <w:rPr>
          <w:rFonts w:ascii="Times New Roman" w:eastAsia="Times New Roman" w:hAnsi="Times New Roman" w:cs="Times New Roman"/>
          <w:sz w:val="24"/>
          <w:szCs w:val="24"/>
        </w:rPr>
        <w:t xml:space="preserve"> (2023) discovered that soft skills, which include integrity, trust, empowerment, and uncertainty management, were perceived more by middle managers compared to the hard digital skills. This indicates that managers play central roles in achieving successful change since they bridge top-level plans and bottom-line action.</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In addition, Courts must ensure that employees have sufficient time, energy, and resources to be involved in change. When employees are overworked, a powerful message from leaders is not sufficient. Albrecht et al. (2022) state that change engagement is well-supported by job level resources like information, involvement, and learning. It demonstrates that workers need real-world support they can sense in their day-to-day activities. Courts should provide protected learning time, realistic workloads, and simple guidance during each change phase.</w:t>
      </w:r>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Also, Courts need to establish preparedness prior to complete acceptance. When the employees realize the benefits and feel part of the change, they will be more inclined to support </w:t>
      </w:r>
      <w:r w:rsidRPr="007B0F9C">
        <w:rPr>
          <w:rFonts w:ascii="Times New Roman" w:eastAsia="Times New Roman" w:hAnsi="Times New Roman" w:cs="Times New Roman"/>
          <w:sz w:val="24"/>
          <w:szCs w:val="24"/>
        </w:rPr>
        <w:lastRenderedPageBreak/>
        <w:t xml:space="preserve">it. </w:t>
      </w:r>
      <w:proofErr w:type="spellStart"/>
      <w:r w:rsidRPr="007B0F9C">
        <w:rPr>
          <w:rFonts w:ascii="Times New Roman" w:eastAsia="Times New Roman" w:hAnsi="Times New Roman" w:cs="Times New Roman"/>
          <w:sz w:val="24"/>
          <w:szCs w:val="24"/>
        </w:rPr>
        <w:t>Mutambik</w:t>
      </w:r>
      <w:proofErr w:type="spellEnd"/>
      <w:r w:rsidRPr="007B0F9C">
        <w:rPr>
          <w:rFonts w:ascii="Times New Roman" w:eastAsia="Times New Roman" w:hAnsi="Times New Roman" w:cs="Times New Roman"/>
          <w:sz w:val="24"/>
          <w:szCs w:val="24"/>
        </w:rPr>
        <w:t xml:space="preserve"> and </w:t>
      </w:r>
      <w:proofErr w:type="spellStart"/>
      <w:r w:rsidRPr="007B0F9C">
        <w:rPr>
          <w:rFonts w:ascii="Times New Roman" w:eastAsia="Times New Roman" w:hAnsi="Times New Roman" w:cs="Times New Roman"/>
          <w:sz w:val="24"/>
          <w:szCs w:val="24"/>
        </w:rPr>
        <w:t>Almuqrin</w:t>
      </w:r>
      <w:proofErr w:type="spellEnd"/>
      <w:r w:rsidRPr="007B0F9C">
        <w:rPr>
          <w:rFonts w:ascii="Times New Roman" w:eastAsia="Times New Roman" w:hAnsi="Times New Roman" w:cs="Times New Roman"/>
          <w:sz w:val="24"/>
          <w:szCs w:val="24"/>
        </w:rPr>
        <w:t xml:space="preserve"> (2024) discovered that perceived advantages and management support enhance acceptance, and complexity and inertia decrease it. This demonstrates that preparedness increases when change is evident, practical and controllable. Consultation, training, and early feedback should be employed by the courts to minimize fear and develop confidence.</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Lastly, Courts ought to exercise power by having employees in the development of new routines. According to </w:t>
      </w:r>
      <w:proofErr w:type="spellStart"/>
      <w:r w:rsidRPr="007B0F9C">
        <w:rPr>
          <w:rFonts w:ascii="Times New Roman" w:eastAsia="Times New Roman" w:hAnsi="Times New Roman" w:cs="Times New Roman"/>
          <w:sz w:val="24"/>
          <w:szCs w:val="24"/>
        </w:rPr>
        <w:t>Bruzzone</w:t>
      </w:r>
      <w:proofErr w:type="spellEnd"/>
      <w:r w:rsidRPr="007B0F9C">
        <w:rPr>
          <w:rFonts w:ascii="Times New Roman" w:eastAsia="Times New Roman" w:hAnsi="Times New Roman" w:cs="Times New Roman"/>
          <w:sz w:val="24"/>
          <w:szCs w:val="24"/>
        </w:rPr>
        <w:t xml:space="preserve"> and </w:t>
      </w:r>
      <w:proofErr w:type="spellStart"/>
      <w:r w:rsidRPr="007B0F9C">
        <w:rPr>
          <w:rFonts w:ascii="Times New Roman" w:eastAsia="Times New Roman" w:hAnsi="Times New Roman" w:cs="Times New Roman"/>
          <w:sz w:val="24"/>
          <w:szCs w:val="24"/>
        </w:rPr>
        <w:t>Crevani</w:t>
      </w:r>
      <w:proofErr w:type="spellEnd"/>
      <w:r w:rsidRPr="007B0F9C">
        <w:rPr>
          <w:rFonts w:ascii="Times New Roman" w:eastAsia="Times New Roman" w:hAnsi="Times New Roman" w:cs="Times New Roman"/>
          <w:sz w:val="24"/>
          <w:szCs w:val="24"/>
        </w:rPr>
        <w:t xml:space="preserve"> (2022), change tools fail when they are forced into practice and do not apply to everyday activities. This indicates that employees may oppose change when it seems unrealistic. Courts must employ co-creation to ensure that staff contribute to the tools they use. This can diminish resistance and simplify change.</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pStyle w:val="Heading1"/>
        <w:spacing w:before="0" w:line="480" w:lineRule="auto"/>
        <w:rPr>
          <w:rFonts w:eastAsia="Times New Roman"/>
        </w:rPr>
      </w:pPr>
      <w:bookmarkStart w:id="5" w:name="_Toc228614532"/>
      <w:proofErr w:type="spellStart"/>
      <w:r w:rsidRPr="007B0F9C">
        <w:rPr>
          <w:rFonts w:eastAsia="Times New Roman"/>
        </w:rPr>
        <w:t>Jabri</w:t>
      </w:r>
      <w:bookmarkEnd w:id="5"/>
      <w:proofErr w:type="spellEnd"/>
      <w:r w:rsidRPr="007B0F9C">
        <w:rPr>
          <w:rFonts w:eastAsia="Times New Roman"/>
        </w:rPr>
        <w:t xml:space="preserve"> </w:t>
      </w:r>
    </w:p>
    <w:p w:rsidR="007B0F9C" w:rsidRPr="007B0F9C" w:rsidRDefault="007B0F9C" w:rsidP="007B0F9C">
      <w:pPr>
        <w:spacing w:after="0" w:line="480" w:lineRule="auto"/>
        <w:ind w:firstLine="720"/>
        <w:rPr>
          <w:rFonts w:ascii="Times New Roman" w:eastAsia="Times New Roman" w:hAnsi="Times New Roman" w:cs="Times New Roman"/>
          <w:sz w:val="24"/>
          <w:szCs w:val="24"/>
        </w:rPr>
      </w:pPr>
      <w:proofErr w:type="spellStart"/>
      <w:r w:rsidRPr="007B0F9C">
        <w:rPr>
          <w:rFonts w:ascii="Times New Roman" w:eastAsia="Times New Roman" w:hAnsi="Times New Roman" w:cs="Times New Roman"/>
          <w:sz w:val="24"/>
          <w:szCs w:val="24"/>
        </w:rPr>
        <w:t>Jabri</w:t>
      </w:r>
      <w:proofErr w:type="spellEnd"/>
      <w:r w:rsidRPr="007B0F9C">
        <w:rPr>
          <w:rFonts w:ascii="Times New Roman" w:eastAsia="Times New Roman" w:hAnsi="Times New Roman" w:cs="Times New Roman"/>
          <w:sz w:val="24"/>
          <w:szCs w:val="24"/>
        </w:rPr>
        <w:t xml:space="preserve"> connects with Courts, as meaning and communication influence employee interpretations and power relations in the context of change, which is significant in structured </w:t>
      </w:r>
      <w:proofErr w:type="spellStart"/>
      <w:r w:rsidRPr="007B0F9C">
        <w:rPr>
          <w:rFonts w:ascii="Times New Roman" w:eastAsia="Times New Roman" w:hAnsi="Times New Roman" w:cs="Times New Roman"/>
          <w:sz w:val="24"/>
          <w:szCs w:val="24"/>
        </w:rPr>
        <w:t>organisations</w:t>
      </w:r>
      <w:proofErr w:type="spellEnd"/>
      <w:r w:rsidRPr="007B0F9C">
        <w:rPr>
          <w:rFonts w:ascii="Times New Roman" w:eastAsia="Times New Roman" w:hAnsi="Times New Roman" w:cs="Times New Roman"/>
          <w:sz w:val="24"/>
          <w:szCs w:val="24"/>
        </w:rPr>
        <w:t xml:space="preserve"> where employees might be afraid to speak out. Albrecht et al. (2022) demonstrated that change engagement is brought about by information, involvement, and learning at the job level. It implies that change models ought to be employed not only to design schedules but also to develop employee experiences that foster enthusiasm and engagement. </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spacing w:after="0" w:line="480" w:lineRule="auto"/>
        <w:ind w:firstLine="720"/>
        <w:rPr>
          <w:rFonts w:ascii="Times New Roman" w:eastAsia="Times New Roman" w:hAnsi="Times New Roman" w:cs="Times New Roman"/>
          <w:sz w:val="24"/>
          <w:szCs w:val="24"/>
        </w:rPr>
      </w:pPr>
      <w:proofErr w:type="spellStart"/>
      <w:r w:rsidRPr="007B0F9C">
        <w:rPr>
          <w:rFonts w:ascii="Times New Roman" w:eastAsia="Times New Roman" w:hAnsi="Times New Roman" w:cs="Times New Roman"/>
          <w:sz w:val="24"/>
          <w:szCs w:val="24"/>
        </w:rPr>
        <w:t>Jabri's</w:t>
      </w:r>
      <w:proofErr w:type="spellEnd"/>
      <w:r w:rsidRPr="007B0F9C">
        <w:rPr>
          <w:rFonts w:ascii="Times New Roman" w:eastAsia="Times New Roman" w:hAnsi="Times New Roman" w:cs="Times New Roman"/>
          <w:sz w:val="24"/>
          <w:szCs w:val="24"/>
        </w:rPr>
        <w:t xml:space="preserve"> oriented analysis points out that employees react to the meaning of change to their work, identity and equity, not merely to formal plans. The process of meaning-making turns into a decisive element in case change is perceived as a threat or a chance of development. </w:t>
      </w:r>
      <w:proofErr w:type="spellStart"/>
      <w:r w:rsidRPr="007B0F9C">
        <w:rPr>
          <w:rFonts w:ascii="Times New Roman" w:eastAsia="Times New Roman" w:hAnsi="Times New Roman" w:cs="Times New Roman"/>
          <w:sz w:val="24"/>
          <w:szCs w:val="24"/>
        </w:rPr>
        <w:t>Huflejt</w:t>
      </w:r>
      <w:proofErr w:type="spellEnd"/>
      <w:r w:rsidRPr="007B0F9C">
        <w:rPr>
          <w:rFonts w:ascii="Times New Roman" w:eastAsia="Times New Roman" w:hAnsi="Times New Roman" w:cs="Times New Roman"/>
          <w:sz w:val="24"/>
          <w:szCs w:val="24"/>
        </w:rPr>
        <w:t xml:space="preserve"> </w:t>
      </w:r>
      <w:proofErr w:type="spellStart"/>
      <w:r w:rsidRPr="007B0F9C">
        <w:rPr>
          <w:rFonts w:ascii="Times New Roman" w:eastAsia="Times New Roman" w:hAnsi="Times New Roman" w:cs="Times New Roman"/>
          <w:sz w:val="24"/>
          <w:szCs w:val="24"/>
        </w:rPr>
        <w:t>Łukasik</w:t>
      </w:r>
      <w:proofErr w:type="spellEnd"/>
      <w:r w:rsidRPr="007B0F9C">
        <w:rPr>
          <w:rFonts w:ascii="Times New Roman" w:eastAsia="Times New Roman" w:hAnsi="Times New Roman" w:cs="Times New Roman"/>
          <w:sz w:val="24"/>
          <w:szCs w:val="24"/>
        </w:rPr>
        <w:t xml:space="preserve"> et al. (2022) asserted that subjective perceptions of change are more likely to be the </w:t>
      </w:r>
      <w:r w:rsidRPr="007B0F9C">
        <w:rPr>
          <w:rFonts w:ascii="Times New Roman" w:eastAsia="Times New Roman" w:hAnsi="Times New Roman" w:cs="Times New Roman"/>
          <w:sz w:val="24"/>
          <w:szCs w:val="24"/>
        </w:rPr>
        <w:lastRenderedPageBreak/>
        <w:t xml:space="preserve">cause of the psychological impact than objective facts, and that coaching can alter the perceptions and decrease the subjective costs. This demonstrates that Courts must influence </w:t>
      </w:r>
      <w:proofErr w:type="spellStart"/>
      <w:r w:rsidRPr="007B0F9C">
        <w:rPr>
          <w:rFonts w:ascii="Times New Roman" w:eastAsia="Times New Roman" w:hAnsi="Times New Roman" w:cs="Times New Roman"/>
          <w:sz w:val="24"/>
          <w:szCs w:val="24"/>
        </w:rPr>
        <w:t>sensemaking</w:t>
      </w:r>
      <w:proofErr w:type="spellEnd"/>
      <w:r w:rsidRPr="007B0F9C">
        <w:rPr>
          <w:rFonts w:ascii="Times New Roman" w:eastAsia="Times New Roman" w:hAnsi="Times New Roman" w:cs="Times New Roman"/>
          <w:sz w:val="24"/>
          <w:szCs w:val="24"/>
        </w:rPr>
        <w:t xml:space="preserve"> by supportive leadership discourse that elucidates intent and alleviates anxiety. Moreover, in the study by </w:t>
      </w:r>
      <w:proofErr w:type="spellStart"/>
      <w:r w:rsidRPr="007B0F9C">
        <w:rPr>
          <w:rFonts w:ascii="Times New Roman" w:eastAsia="Times New Roman" w:hAnsi="Times New Roman" w:cs="Times New Roman"/>
          <w:sz w:val="24"/>
          <w:szCs w:val="24"/>
        </w:rPr>
        <w:t>Mutambik</w:t>
      </w:r>
      <w:proofErr w:type="spellEnd"/>
      <w:r w:rsidRPr="007B0F9C">
        <w:rPr>
          <w:rFonts w:ascii="Times New Roman" w:eastAsia="Times New Roman" w:hAnsi="Times New Roman" w:cs="Times New Roman"/>
          <w:sz w:val="24"/>
          <w:szCs w:val="24"/>
        </w:rPr>
        <w:t xml:space="preserve"> and </w:t>
      </w:r>
      <w:proofErr w:type="spellStart"/>
      <w:r w:rsidRPr="007B0F9C">
        <w:rPr>
          <w:rFonts w:ascii="Times New Roman" w:eastAsia="Times New Roman" w:hAnsi="Times New Roman" w:cs="Times New Roman"/>
          <w:sz w:val="24"/>
          <w:szCs w:val="24"/>
        </w:rPr>
        <w:t>Almuqrin</w:t>
      </w:r>
      <w:proofErr w:type="spellEnd"/>
      <w:r w:rsidRPr="007B0F9C">
        <w:rPr>
          <w:rFonts w:ascii="Times New Roman" w:eastAsia="Times New Roman" w:hAnsi="Times New Roman" w:cs="Times New Roman"/>
          <w:sz w:val="24"/>
          <w:szCs w:val="24"/>
        </w:rPr>
        <w:t xml:space="preserve"> (2024), perceived advantages were more readily accepted in the presence of management support; thus, meaning-making should be linked to credible support and explicit benefit messages. It implies that Courts ought to put change in the context of value creation and capability building, while also ensuring that employees feel supported in their day-to-day work. Therefore, </w:t>
      </w:r>
      <w:proofErr w:type="spellStart"/>
      <w:r w:rsidRPr="007B0F9C">
        <w:rPr>
          <w:rFonts w:ascii="Times New Roman" w:eastAsia="Times New Roman" w:hAnsi="Times New Roman" w:cs="Times New Roman"/>
          <w:sz w:val="24"/>
          <w:szCs w:val="24"/>
        </w:rPr>
        <w:t>sensemaking</w:t>
      </w:r>
      <w:proofErr w:type="spellEnd"/>
      <w:r w:rsidRPr="007B0F9C">
        <w:rPr>
          <w:rFonts w:ascii="Times New Roman" w:eastAsia="Times New Roman" w:hAnsi="Times New Roman" w:cs="Times New Roman"/>
          <w:sz w:val="24"/>
          <w:szCs w:val="24"/>
        </w:rPr>
        <w:t xml:space="preserve"> should be managed as an ongoing leadership activity that shapes acceptance.</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Further, </w:t>
      </w:r>
      <w:proofErr w:type="spellStart"/>
      <w:r w:rsidRPr="007B0F9C">
        <w:rPr>
          <w:rFonts w:ascii="Times New Roman" w:eastAsia="Times New Roman" w:hAnsi="Times New Roman" w:cs="Times New Roman"/>
          <w:sz w:val="24"/>
          <w:szCs w:val="24"/>
        </w:rPr>
        <w:t>Jabri</w:t>
      </w:r>
      <w:proofErr w:type="spellEnd"/>
      <w:r w:rsidRPr="007B0F9C">
        <w:rPr>
          <w:rFonts w:ascii="Times New Roman" w:eastAsia="Times New Roman" w:hAnsi="Times New Roman" w:cs="Times New Roman"/>
          <w:sz w:val="24"/>
          <w:szCs w:val="24"/>
        </w:rPr>
        <w:t xml:space="preserve"> emphasizes communication and dialogue as the social process in which change is made a coordinated reality. The amount of communication does not ensure the comprehension of whether or not the feedback loops are weak and the decision-making is out of touch across groups. Cunningham et al. (2023) found that employees may be overloaded with information and still uncertain about the consequences of their decisions, and that operational disconnection is promoted by various communication practices and the absence of a feedback loop. It shows that Courts should construct communication to be a shared feedback mechanism generating clarity, not as a one-way flow of information. Also, </w:t>
      </w:r>
      <w:proofErr w:type="spellStart"/>
      <w:r w:rsidRPr="007B0F9C">
        <w:rPr>
          <w:rFonts w:ascii="Times New Roman" w:eastAsia="Times New Roman" w:hAnsi="Times New Roman" w:cs="Times New Roman"/>
          <w:sz w:val="24"/>
          <w:szCs w:val="24"/>
        </w:rPr>
        <w:t>Jin</w:t>
      </w:r>
      <w:proofErr w:type="spellEnd"/>
      <w:r w:rsidRPr="007B0F9C">
        <w:rPr>
          <w:rFonts w:ascii="Times New Roman" w:eastAsia="Times New Roman" w:hAnsi="Times New Roman" w:cs="Times New Roman"/>
          <w:sz w:val="24"/>
          <w:szCs w:val="24"/>
        </w:rPr>
        <w:t xml:space="preserve"> and Peng (2024) found that team psychological safety enhances innovation performance through communication </w:t>
      </w:r>
      <w:proofErr w:type="spellStart"/>
      <w:r w:rsidRPr="007B0F9C">
        <w:rPr>
          <w:rFonts w:ascii="Times New Roman" w:eastAsia="Times New Roman" w:hAnsi="Times New Roman" w:cs="Times New Roman"/>
          <w:sz w:val="24"/>
          <w:szCs w:val="24"/>
        </w:rPr>
        <w:t>behaviour</w:t>
      </w:r>
      <w:proofErr w:type="spellEnd"/>
      <w:r w:rsidRPr="007B0F9C">
        <w:rPr>
          <w:rFonts w:ascii="Times New Roman" w:eastAsia="Times New Roman" w:hAnsi="Times New Roman" w:cs="Times New Roman"/>
          <w:sz w:val="24"/>
          <w:szCs w:val="24"/>
        </w:rPr>
        <w:t xml:space="preserve">, suggesting that information sharing and give-and-take processes transform safety into innovation. This implies that Courts should establish dialogue practices in which employees present issues, suggest improvements, and are responded to in an environment where they do not </w:t>
      </w:r>
      <w:r w:rsidRPr="007B0F9C">
        <w:rPr>
          <w:rFonts w:ascii="Times New Roman" w:eastAsia="Times New Roman" w:hAnsi="Times New Roman" w:cs="Times New Roman"/>
          <w:sz w:val="24"/>
          <w:szCs w:val="24"/>
        </w:rPr>
        <w:lastRenderedPageBreak/>
        <w:t>fear. Therefore, communication and dialogue should be structured as safe feedback loops that support alignment and adaptive capability.</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pStyle w:val="Heading1"/>
        <w:spacing w:before="0" w:line="480" w:lineRule="auto"/>
        <w:rPr>
          <w:rFonts w:eastAsia="Times New Roman"/>
        </w:rPr>
      </w:pPr>
      <w:bookmarkStart w:id="6" w:name="_Toc228614533"/>
      <w:r w:rsidRPr="007B0F9C">
        <w:rPr>
          <w:rFonts w:eastAsia="Times New Roman"/>
        </w:rPr>
        <w:t>Recommendations</w:t>
      </w:r>
      <w:bookmarkEnd w:id="6"/>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Employees should find it easier to accept change in the courts. The management support must be evident and transparent. Leaders are also expected to elaborate on the advantages of change through language that is relevant to each position. This will assist the employees in knowing the impact of the change on their work. The courts would also help to minimize confusion through progressive stages and straightforward routines which can be replicated (</w:t>
      </w:r>
      <w:proofErr w:type="spellStart"/>
      <w:r w:rsidRPr="007B0F9C">
        <w:rPr>
          <w:rFonts w:ascii="Times New Roman" w:eastAsia="Times New Roman" w:hAnsi="Times New Roman" w:cs="Times New Roman"/>
          <w:sz w:val="24"/>
          <w:szCs w:val="24"/>
        </w:rPr>
        <w:t>Mutambik</w:t>
      </w:r>
      <w:proofErr w:type="spellEnd"/>
      <w:r w:rsidRPr="007B0F9C">
        <w:rPr>
          <w:rFonts w:ascii="Times New Roman" w:eastAsia="Times New Roman" w:hAnsi="Times New Roman" w:cs="Times New Roman"/>
          <w:sz w:val="24"/>
          <w:szCs w:val="24"/>
        </w:rPr>
        <w:t xml:space="preserve"> &amp; </w:t>
      </w:r>
      <w:proofErr w:type="spellStart"/>
      <w:r w:rsidRPr="007B0F9C">
        <w:rPr>
          <w:rFonts w:ascii="Times New Roman" w:eastAsia="Times New Roman" w:hAnsi="Times New Roman" w:cs="Times New Roman"/>
          <w:sz w:val="24"/>
          <w:szCs w:val="24"/>
        </w:rPr>
        <w:t>Almuqrin</w:t>
      </w:r>
      <w:proofErr w:type="spellEnd"/>
      <w:r w:rsidRPr="007B0F9C">
        <w:rPr>
          <w:rFonts w:ascii="Times New Roman" w:eastAsia="Times New Roman" w:hAnsi="Times New Roman" w:cs="Times New Roman"/>
          <w:sz w:val="24"/>
          <w:szCs w:val="24"/>
        </w:rPr>
        <w:t xml:space="preserve">, 2024). Furthermore, Courts ought to provide employees with the assistance they require to participate in change. This comprises clear information, participation in local decision-making, as well as adequate learning opportunities. According to Albrecht et al. (2022), such intimate work conditions influence the interest of the employees in change more than the overall </w:t>
      </w:r>
      <w:proofErr w:type="spellStart"/>
      <w:r w:rsidRPr="007B0F9C">
        <w:rPr>
          <w:rFonts w:ascii="Times New Roman" w:eastAsia="Times New Roman" w:hAnsi="Times New Roman" w:cs="Times New Roman"/>
          <w:sz w:val="24"/>
          <w:szCs w:val="24"/>
        </w:rPr>
        <w:t>organisational</w:t>
      </w:r>
      <w:proofErr w:type="spellEnd"/>
      <w:r w:rsidRPr="007B0F9C">
        <w:rPr>
          <w:rFonts w:ascii="Times New Roman" w:eastAsia="Times New Roman" w:hAnsi="Times New Roman" w:cs="Times New Roman"/>
          <w:sz w:val="24"/>
          <w:szCs w:val="24"/>
        </w:rPr>
        <w:t xml:space="preserve"> messages. This demonstrates that employees tend to become more accepting of change when they have the ability to learn, perform and observe how change works in their day-to-day operations. Secondly, Courts ought to deal with the pressures that may accompany digital transformation. This involves uncertainty, time pressure and poor implementation. According to </w:t>
      </w:r>
      <w:proofErr w:type="spellStart"/>
      <w:r w:rsidRPr="007B0F9C">
        <w:rPr>
          <w:rFonts w:ascii="Times New Roman" w:eastAsia="Times New Roman" w:hAnsi="Times New Roman" w:cs="Times New Roman"/>
          <w:sz w:val="24"/>
          <w:szCs w:val="24"/>
        </w:rPr>
        <w:t>Makowska</w:t>
      </w:r>
      <w:proofErr w:type="spellEnd"/>
      <w:r w:rsidRPr="007B0F9C">
        <w:rPr>
          <w:rFonts w:ascii="Times New Roman" w:eastAsia="Times New Roman" w:hAnsi="Times New Roman" w:cs="Times New Roman"/>
          <w:sz w:val="24"/>
          <w:szCs w:val="24"/>
        </w:rPr>
        <w:t xml:space="preserve"> </w:t>
      </w:r>
      <w:proofErr w:type="spellStart"/>
      <w:r w:rsidRPr="007B0F9C">
        <w:rPr>
          <w:rFonts w:ascii="Times New Roman" w:eastAsia="Times New Roman" w:hAnsi="Times New Roman" w:cs="Times New Roman"/>
          <w:sz w:val="24"/>
          <w:szCs w:val="24"/>
        </w:rPr>
        <w:t>Tłomak</w:t>
      </w:r>
      <w:proofErr w:type="spellEnd"/>
      <w:r w:rsidRPr="007B0F9C">
        <w:rPr>
          <w:rFonts w:ascii="Times New Roman" w:eastAsia="Times New Roman" w:hAnsi="Times New Roman" w:cs="Times New Roman"/>
          <w:sz w:val="24"/>
          <w:szCs w:val="24"/>
        </w:rPr>
        <w:t xml:space="preserve"> et al. (2023), stress related to digital transformation can occur even when employees are well-equipped with technical skills. This demonstrates that lack of ability is not the only cause of stress. It may also be a result of ambiguous planning and ineffective project management. </w:t>
      </w:r>
    </w:p>
    <w:p w:rsidR="007B0F9C" w:rsidRPr="007B0F9C"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Furthermore, Courts should use coaching to support employees and managers during change. According to </w:t>
      </w:r>
      <w:proofErr w:type="spellStart"/>
      <w:r w:rsidRPr="007B0F9C">
        <w:rPr>
          <w:rFonts w:ascii="Times New Roman" w:eastAsia="Times New Roman" w:hAnsi="Times New Roman" w:cs="Times New Roman"/>
          <w:sz w:val="24"/>
          <w:szCs w:val="24"/>
        </w:rPr>
        <w:t>Huflejt</w:t>
      </w:r>
      <w:proofErr w:type="spellEnd"/>
      <w:r w:rsidRPr="007B0F9C">
        <w:rPr>
          <w:rFonts w:ascii="Times New Roman" w:eastAsia="Times New Roman" w:hAnsi="Times New Roman" w:cs="Times New Roman"/>
          <w:sz w:val="24"/>
          <w:szCs w:val="24"/>
        </w:rPr>
        <w:t xml:space="preserve"> </w:t>
      </w:r>
      <w:proofErr w:type="spellStart"/>
      <w:r w:rsidRPr="007B0F9C">
        <w:rPr>
          <w:rFonts w:ascii="Times New Roman" w:eastAsia="Times New Roman" w:hAnsi="Times New Roman" w:cs="Times New Roman"/>
          <w:sz w:val="24"/>
          <w:szCs w:val="24"/>
        </w:rPr>
        <w:t>Łukasik</w:t>
      </w:r>
      <w:proofErr w:type="spellEnd"/>
      <w:r w:rsidRPr="007B0F9C">
        <w:rPr>
          <w:rFonts w:ascii="Times New Roman" w:eastAsia="Times New Roman" w:hAnsi="Times New Roman" w:cs="Times New Roman"/>
          <w:sz w:val="24"/>
          <w:szCs w:val="24"/>
        </w:rPr>
        <w:t xml:space="preserve"> et al. (2022), individual perception of change may add </w:t>
      </w:r>
      <w:r w:rsidRPr="007B0F9C">
        <w:rPr>
          <w:rFonts w:ascii="Times New Roman" w:eastAsia="Times New Roman" w:hAnsi="Times New Roman" w:cs="Times New Roman"/>
          <w:sz w:val="24"/>
          <w:szCs w:val="24"/>
        </w:rPr>
        <w:lastRenderedPageBreak/>
        <w:t xml:space="preserve">stress and decrease openness. This demonstrates that coaching can help employees cope with pressure, build resilience, and think more positively through transitions. Also, Courts ought to enhance middle manager competence. </w:t>
      </w:r>
      <w:proofErr w:type="spellStart"/>
      <w:r w:rsidRPr="007B0F9C">
        <w:rPr>
          <w:rFonts w:ascii="Times New Roman" w:eastAsia="Times New Roman" w:hAnsi="Times New Roman" w:cs="Times New Roman"/>
          <w:sz w:val="24"/>
          <w:szCs w:val="24"/>
        </w:rPr>
        <w:t>Henderikx</w:t>
      </w:r>
      <w:proofErr w:type="spellEnd"/>
      <w:r w:rsidRPr="007B0F9C">
        <w:rPr>
          <w:rFonts w:ascii="Times New Roman" w:eastAsia="Times New Roman" w:hAnsi="Times New Roman" w:cs="Times New Roman"/>
          <w:sz w:val="24"/>
          <w:szCs w:val="24"/>
        </w:rPr>
        <w:t xml:space="preserve"> and </w:t>
      </w:r>
      <w:proofErr w:type="spellStart"/>
      <w:r w:rsidRPr="007B0F9C">
        <w:rPr>
          <w:rFonts w:ascii="Times New Roman" w:eastAsia="Times New Roman" w:hAnsi="Times New Roman" w:cs="Times New Roman"/>
          <w:sz w:val="24"/>
          <w:szCs w:val="24"/>
        </w:rPr>
        <w:t>Stoffers</w:t>
      </w:r>
      <w:proofErr w:type="spellEnd"/>
      <w:r w:rsidRPr="007B0F9C">
        <w:rPr>
          <w:rFonts w:ascii="Times New Roman" w:eastAsia="Times New Roman" w:hAnsi="Times New Roman" w:cs="Times New Roman"/>
          <w:sz w:val="24"/>
          <w:szCs w:val="24"/>
        </w:rPr>
        <w:t xml:space="preserve"> (2023) demonstrate that trust, integrity, empowerment, and stability are highly valued in the context of transformation. This implies that interpersonal skills can be more significant than expertise as the managers lead the change process among teams. In addition, Courts ought to enhance interdepartmental communication. Cunningham et al. (2023) demonstrate that disconnect can be decreased and decision-making enhanced by means of shared communication and feedback. This means Courts should create regular feedback loops so departments can work with the same information and goals. Lastly, Courts ought to create psychological safety in the course of change. The employees are expected to feel free to talk, ask and offer ideas. Co-creation should also be employed by the courts, with employees assisting in shaping the tools and routines they will use. This may render change more viable, reliable, and lasting.</w:t>
      </w:r>
    </w:p>
    <w:p w:rsidR="007B0F9C" w:rsidRPr="007B0F9C" w:rsidRDefault="007B0F9C" w:rsidP="007B0F9C">
      <w:pPr>
        <w:spacing w:after="0" w:line="480" w:lineRule="auto"/>
        <w:rPr>
          <w:rFonts w:ascii="Times New Roman" w:eastAsia="Times New Roman" w:hAnsi="Times New Roman" w:cs="Times New Roman"/>
          <w:sz w:val="24"/>
          <w:szCs w:val="24"/>
        </w:rPr>
      </w:pPr>
    </w:p>
    <w:p w:rsidR="007B0F9C" w:rsidRPr="007B0F9C" w:rsidRDefault="007B0F9C" w:rsidP="007B0F9C">
      <w:pPr>
        <w:pStyle w:val="Heading1"/>
        <w:spacing w:before="0" w:line="480" w:lineRule="auto"/>
        <w:rPr>
          <w:rFonts w:eastAsia="Times New Roman"/>
        </w:rPr>
      </w:pPr>
      <w:bookmarkStart w:id="7" w:name="_Toc228614534"/>
      <w:r w:rsidRPr="007B0F9C">
        <w:rPr>
          <w:rFonts w:eastAsia="Times New Roman"/>
        </w:rPr>
        <w:t>Conclusion</w:t>
      </w:r>
      <w:bookmarkEnd w:id="7"/>
    </w:p>
    <w:p w:rsidR="00FC611B" w:rsidRDefault="007B0F9C" w:rsidP="007B0F9C">
      <w:pPr>
        <w:spacing w:after="0" w:line="480" w:lineRule="auto"/>
        <w:ind w:firstLine="720"/>
        <w:rPr>
          <w:rFonts w:ascii="Times New Roman" w:eastAsia="Times New Roman" w:hAnsi="Times New Roman" w:cs="Times New Roman"/>
          <w:sz w:val="24"/>
          <w:szCs w:val="24"/>
        </w:rPr>
      </w:pPr>
      <w:r w:rsidRPr="007B0F9C">
        <w:rPr>
          <w:rFonts w:ascii="Times New Roman" w:eastAsia="Times New Roman" w:hAnsi="Times New Roman" w:cs="Times New Roman"/>
          <w:sz w:val="24"/>
          <w:szCs w:val="24"/>
        </w:rPr>
        <w:t xml:space="preserve">Courts Guyana Inc. can effectively deal with change when it treats it as a contextual design challenge and a social process rather than a simple plan to be implemented. The Kaleidoscope Model reveals that time, scope, preservation, diversity, capability, capacity, readiness, and power have to correspond with the realities of the </w:t>
      </w:r>
      <w:proofErr w:type="spellStart"/>
      <w:r w:rsidRPr="007B0F9C">
        <w:rPr>
          <w:rFonts w:ascii="Times New Roman" w:eastAsia="Times New Roman" w:hAnsi="Times New Roman" w:cs="Times New Roman"/>
          <w:sz w:val="24"/>
          <w:szCs w:val="24"/>
        </w:rPr>
        <w:t>organisation</w:t>
      </w:r>
      <w:proofErr w:type="spellEnd"/>
      <w:r w:rsidRPr="007B0F9C">
        <w:rPr>
          <w:rFonts w:ascii="Times New Roman" w:eastAsia="Times New Roman" w:hAnsi="Times New Roman" w:cs="Times New Roman"/>
          <w:sz w:val="24"/>
          <w:szCs w:val="24"/>
        </w:rPr>
        <w:t xml:space="preserve"> in such a way that the employees are able to participate without any undue strain and confusion. </w:t>
      </w:r>
      <w:proofErr w:type="spellStart"/>
      <w:r w:rsidRPr="007B0F9C">
        <w:rPr>
          <w:rFonts w:ascii="Times New Roman" w:eastAsia="Times New Roman" w:hAnsi="Times New Roman" w:cs="Times New Roman"/>
          <w:sz w:val="24"/>
          <w:szCs w:val="24"/>
        </w:rPr>
        <w:t>Jabri</w:t>
      </w:r>
      <w:proofErr w:type="spellEnd"/>
      <w:r w:rsidRPr="007B0F9C">
        <w:rPr>
          <w:rFonts w:ascii="Times New Roman" w:eastAsia="Times New Roman" w:hAnsi="Times New Roman" w:cs="Times New Roman"/>
          <w:sz w:val="24"/>
          <w:szCs w:val="24"/>
        </w:rPr>
        <w:t xml:space="preserve"> also demonstrates that meaning making, communication, identity and power relations determine whether change is accepted practice or work that is resisted. The courts should therefore invest in visible support, job-level learning resources, coaching, middle manager capability, integrated </w:t>
      </w:r>
      <w:r w:rsidRPr="007B0F9C">
        <w:rPr>
          <w:rFonts w:ascii="Times New Roman" w:eastAsia="Times New Roman" w:hAnsi="Times New Roman" w:cs="Times New Roman"/>
          <w:sz w:val="24"/>
          <w:szCs w:val="24"/>
        </w:rPr>
        <w:lastRenderedPageBreak/>
        <w:t xml:space="preserve">feedback loops, psychological safety, and co-created routines compatible with daily work. By balancing these factors, Courts will be able to maintain adaptation and enhance their </w:t>
      </w:r>
      <w:proofErr w:type="spellStart"/>
      <w:r w:rsidRPr="007B0F9C">
        <w:rPr>
          <w:rFonts w:ascii="Times New Roman" w:eastAsia="Times New Roman" w:hAnsi="Times New Roman" w:cs="Times New Roman"/>
          <w:sz w:val="24"/>
          <w:szCs w:val="24"/>
        </w:rPr>
        <w:t>organisational</w:t>
      </w:r>
      <w:proofErr w:type="spellEnd"/>
      <w:r w:rsidRPr="007B0F9C">
        <w:rPr>
          <w:rFonts w:ascii="Times New Roman" w:eastAsia="Times New Roman" w:hAnsi="Times New Roman" w:cs="Times New Roman"/>
          <w:sz w:val="24"/>
          <w:szCs w:val="24"/>
        </w:rPr>
        <w:t xml:space="preserve"> ability to foster creativity, innovation and entrepreneurship in a dynamic global environment.</w:t>
      </w:r>
    </w:p>
    <w:p w:rsidR="007B0F9C" w:rsidRDefault="007B0F9C" w:rsidP="007B0F9C">
      <w:pPr>
        <w:spacing w:after="0" w:line="480" w:lineRule="auto"/>
        <w:rPr>
          <w:rFonts w:ascii="Times New Roman" w:eastAsia="Times New Roman" w:hAnsi="Times New Roman" w:cstheme="majorBidi"/>
          <w:b/>
          <w:i/>
          <w:color w:val="000000" w:themeColor="text1"/>
          <w:sz w:val="24"/>
          <w:szCs w:val="32"/>
        </w:rPr>
      </w:pPr>
      <w:r>
        <w:rPr>
          <w:rFonts w:eastAsia="Times New Roman"/>
        </w:rPr>
        <w:br w:type="page"/>
      </w:r>
    </w:p>
    <w:p w:rsidR="007B0F9C" w:rsidRDefault="007B0F9C" w:rsidP="007B0F9C">
      <w:pPr>
        <w:pStyle w:val="Heading1"/>
        <w:spacing w:before="0" w:line="480" w:lineRule="auto"/>
        <w:rPr>
          <w:rFonts w:eastAsia="Times New Roman"/>
        </w:rPr>
      </w:pPr>
      <w:bookmarkStart w:id="8" w:name="_Toc228614535"/>
      <w:r w:rsidRPr="007B0F9C">
        <w:rPr>
          <w:rFonts w:eastAsia="Times New Roman"/>
        </w:rPr>
        <w:lastRenderedPageBreak/>
        <w:t>Bibliography</w:t>
      </w:r>
      <w:bookmarkEnd w:id="8"/>
    </w:p>
    <w:p w:rsidR="007B0F9C" w:rsidRDefault="007B0F9C" w:rsidP="007B0F9C">
      <w:pPr>
        <w:pStyle w:val="NormalWeb"/>
        <w:spacing w:before="0" w:beforeAutospacing="0" w:after="0" w:afterAutospacing="0" w:line="480" w:lineRule="auto"/>
        <w:ind w:left="720" w:hanging="720"/>
      </w:pPr>
      <w:r>
        <w:t xml:space="preserve">Albrecht, S.L., Connaughton, S. &amp; Leiter, M.P. 2022. The Influence of Change Related Organizational and Job Resources on Employee Change Engagement. </w:t>
      </w:r>
      <w:r>
        <w:rPr>
          <w:rStyle w:val="Emphasis"/>
        </w:rPr>
        <w:t>Frontiers in Psychology</w:t>
      </w:r>
      <w:r>
        <w:t xml:space="preserve">, 13: 910206. </w:t>
      </w:r>
      <w:hyperlink r:id="rId7" w:tgtFrame="_new" w:history="1">
        <w:r>
          <w:rPr>
            <w:rStyle w:val="Hyperlink"/>
          </w:rPr>
          <w:t>https://doi.org/10.3389/fpsyg.2022.910206</w:t>
        </w:r>
      </w:hyperlink>
      <w:r>
        <w:t xml:space="preserve"> 30 April 2026.</w:t>
      </w:r>
    </w:p>
    <w:p w:rsidR="007B0F9C" w:rsidRDefault="007B0F9C" w:rsidP="007B0F9C">
      <w:pPr>
        <w:pStyle w:val="NormalWeb"/>
        <w:spacing w:before="0" w:beforeAutospacing="0" w:after="0" w:afterAutospacing="0" w:line="480" w:lineRule="auto"/>
        <w:ind w:left="720" w:hanging="720"/>
      </w:pPr>
      <w:proofErr w:type="spellStart"/>
      <w:r>
        <w:t>Bruzzone</w:t>
      </w:r>
      <w:proofErr w:type="spellEnd"/>
      <w:r>
        <w:t xml:space="preserve">, S. &amp; </w:t>
      </w:r>
      <w:proofErr w:type="spellStart"/>
      <w:r>
        <w:t>Crevani</w:t>
      </w:r>
      <w:proofErr w:type="spellEnd"/>
      <w:r>
        <w:t xml:space="preserve">, L. 2022. Supporting and Studying Organizational Change for Introducing Welfare Technologies as a </w:t>
      </w:r>
      <w:proofErr w:type="spellStart"/>
      <w:r>
        <w:t>Sociomaterial</w:t>
      </w:r>
      <w:proofErr w:type="spellEnd"/>
      <w:r>
        <w:t xml:space="preserve"> Process. </w:t>
      </w:r>
      <w:r>
        <w:rPr>
          <w:rStyle w:val="Emphasis"/>
        </w:rPr>
        <w:t>Frontiers in Psychology</w:t>
      </w:r>
      <w:r>
        <w:t xml:space="preserve">, 13: 787223. </w:t>
      </w:r>
      <w:hyperlink r:id="rId8" w:tgtFrame="_new" w:history="1">
        <w:r>
          <w:rPr>
            <w:rStyle w:val="Hyperlink"/>
          </w:rPr>
          <w:t>https://doi.org/10.3389/fpsyg.2022.787223</w:t>
        </w:r>
      </w:hyperlink>
      <w:r>
        <w:t xml:space="preserve"> 30 April 2026.</w:t>
      </w:r>
    </w:p>
    <w:p w:rsidR="007B0F9C" w:rsidRDefault="007B0F9C" w:rsidP="007B0F9C">
      <w:pPr>
        <w:pStyle w:val="NormalWeb"/>
        <w:spacing w:before="0" w:beforeAutospacing="0" w:after="0" w:afterAutospacing="0" w:line="480" w:lineRule="auto"/>
        <w:ind w:left="720" w:hanging="720"/>
      </w:pPr>
      <w:r>
        <w:t xml:space="preserve">Cunningham, C., </w:t>
      </w:r>
      <w:proofErr w:type="spellStart"/>
      <w:r>
        <w:t>Vosloo</w:t>
      </w:r>
      <w:proofErr w:type="spellEnd"/>
      <w:r>
        <w:t xml:space="preserve">, M. &amp; Wallis, L.A. 2023. </w:t>
      </w:r>
      <w:proofErr w:type="spellStart"/>
      <w:r>
        <w:t>Interprofessional</w:t>
      </w:r>
      <w:proofErr w:type="spellEnd"/>
      <w:r>
        <w:t xml:space="preserve"> sense making in the emergency department: A </w:t>
      </w:r>
      <w:proofErr w:type="spellStart"/>
      <w:r>
        <w:t>SenseMaker</w:t>
      </w:r>
      <w:proofErr w:type="spellEnd"/>
      <w:r>
        <w:t xml:space="preserve"> study. </w:t>
      </w:r>
      <w:r>
        <w:rPr>
          <w:rStyle w:val="Emphasis"/>
        </w:rPr>
        <w:t>PLOS ONE</w:t>
      </w:r>
      <w:r>
        <w:t xml:space="preserve">, 18(3): e0282307. </w:t>
      </w:r>
      <w:hyperlink r:id="rId9" w:tgtFrame="_new" w:history="1">
        <w:r>
          <w:rPr>
            <w:rStyle w:val="Hyperlink"/>
          </w:rPr>
          <w:t>https://doi.org/10.1371/journal.pone.0282307</w:t>
        </w:r>
      </w:hyperlink>
      <w:r>
        <w:t xml:space="preserve"> 30 April 2026.</w:t>
      </w:r>
    </w:p>
    <w:p w:rsidR="007B0F9C" w:rsidRDefault="007B0F9C" w:rsidP="007B0F9C">
      <w:pPr>
        <w:pStyle w:val="NormalWeb"/>
        <w:spacing w:before="0" w:beforeAutospacing="0" w:after="0" w:afterAutospacing="0" w:line="480" w:lineRule="auto"/>
        <w:ind w:left="720" w:hanging="720"/>
      </w:pPr>
      <w:proofErr w:type="spellStart"/>
      <w:r>
        <w:t>Henderikx</w:t>
      </w:r>
      <w:proofErr w:type="spellEnd"/>
      <w:r>
        <w:t xml:space="preserve">, M. &amp; </w:t>
      </w:r>
      <w:proofErr w:type="spellStart"/>
      <w:r>
        <w:t>Stoffers</w:t>
      </w:r>
      <w:proofErr w:type="spellEnd"/>
      <w:r>
        <w:t xml:space="preserve">, J. 2023. Digital transformation and middle managers’ leadership skills and behavior: a group concept mapping approach. </w:t>
      </w:r>
      <w:r>
        <w:rPr>
          <w:rStyle w:val="Emphasis"/>
        </w:rPr>
        <w:t>Frontiers in Psychology</w:t>
      </w:r>
      <w:r>
        <w:t xml:space="preserve">, 14: 1147002. </w:t>
      </w:r>
      <w:hyperlink r:id="rId10" w:tgtFrame="_new" w:history="1">
        <w:r>
          <w:rPr>
            <w:rStyle w:val="Hyperlink"/>
          </w:rPr>
          <w:t>https://doi.org/10.3389/fpsyg.2023.1147002</w:t>
        </w:r>
      </w:hyperlink>
      <w:r>
        <w:t xml:space="preserve"> 30 April 2026.</w:t>
      </w:r>
    </w:p>
    <w:p w:rsidR="007B0F9C" w:rsidRDefault="007B0F9C" w:rsidP="007B0F9C">
      <w:pPr>
        <w:pStyle w:val="NormalWeb"/>
        <w:spacing w:before="0" w:beforeAutospacing="0" w:after="0" w:afterAutospacing="0" w:line="480" w:lineRule="auto"/>
        <w:ind w:left="720" w:hanging="720"/>
      </w:pPr>
      <w:proofErr w:type="spellStart"/>
      <w:r>
        <w:t>Huflejt</w:t>
      </w:r>
      <w:proofErr w:type="spellEnd"/>
      <w:r>
        <w:t xml:space="preserve"> </w:t>
      </w:r>
      <w:proofErr w:type="spellStart"/>
      <w:r>
        <w:t>Łukasik</w:t>
      </w:r>
      <w:proofErr w:type="spellEnd"/>
      <w:r>
        <w:t xml:space="preserve">, M., </w:t>
      </w:r>
      <w:proofErr w:type="spellStart"/>
      <w:r>
        <w:t>Jędrzejczyk</w:t>
      </w:r>
      <w:proofErr w:type="spellEnd"/>
      <w:r>
        <w:t xml:space="preserve">, J. &amp; </w:t>
      </w:r>
      <w:proofErr w:type="spellStart"/>
      <w:r>
        <w:t>Podlaś</w:t>
      </w:r>
      <w:proofErr w:type="spellEnd"/>
      <w:r>
        <w:t xml:space="preserve">, P. 2022. Coaching as a Buffer for </w:t>
      </w:r>
      <w:proofErr w:type="spellStart"/>
      <w:r>
        <w:t>Organisational</w:t>
      </w:r>
      <w:proofErr w:type="spellEnd"/>
      <w:r>
        <w:t xml:space="preserve"> Change. </w:t>
      </w:r>
      <w:r>
        <w:rPr>
          <w:rStyle w:val="Emphasis"/>
        </w:rPr>
        <w:t>Frontiers in Psychology</w:t>
      </w:r>
      <w:r>
        <w:t xml:space="preserve">, 13: 841804. </w:t>
      </w:r>
      <w:hyperlink r:id="rId11" w:tgtFrame="_new" w:history="1">
        <w:r>
          <w:rPr>
            <w:rStyle w:val="Hyperlink"/>
          </w:rPr>
          <w:t>https://doi.org/10.3389/fpsyg.2022.841804</w:t>
        </w:r>
      </w:hyperlink>
      <w:r>
        <w:t xml:space="preserve"> 30 April 2026.</w:t>
      </w:r>
    </w:p>
    <w:p w:rsidR="007B0F9C" w:rsidRDefault="007B0F9C" w:rsidP="007B0F9C">
      <w:pPr>
        <w:pStyle w:val="NormalWeb"/>
        <w:spacing w:before="0" w:beforeAutospacing="0" w:after="0" w:afterAutospacing="0" w:line="480" w:lineRule="auto"/>
        <w:ind w:left="720" w:hanging="720"/>
      </w:pPr>
      <w:proofErr w:type="spellStart"/>
      <w:r>
        <w:t>Jin</w:t>
      </w:r>
      <w:proofErr w:type="spellEnd"/>
      <w:r>
        <w:t xml:space="preserve">, H. &amp; Peng, Y. 2024. The impact of team psychological safety on employee innovative performance: a study with communication behavior as a mediator variable. </w:t>
      </w:r>
      <w:r>
        <w:rPr>
          <w:rStyle w:val="Emphasis"/>
        </w:rPr>
        <w:t>PLOS ONE</w:t>
      </w:r>
      <w:r>
        <w:t xml:space="preserve">, 19(10): e0306629. </w:t>
      </w:r>
      <w:hyperlink r:id="rId12" w:tgtFrame="_new" w:history="1">
        <w:r>
          <w:rPr>
            <w:rStyle w:val="Hyperlink"/>
          </w:rPr>
          <w:t>https://doi.org/10.1371/journal.pone.0306629</w:t>
        </w:r>
      </w:hyperlink>
      <w:r>
        <w:t xml:space="preserve"> 30 April 2026.</w:t>
      </w:r>
    </w:p>
    <w:p w:rsidR="007B0F9C" w:rsidRDefault="007B0F9C" w:rsidP="007B0F9C">
      <w:pPr>
        <w:pStyle w:val="NormalWeb"/>
        <w:spacing w:before="0" w:beforeAutospacing="0" w:after="0" w:afterAutospacing="0" w:line="480" w:lineRule="auto"/>
        <w:ind w:left="720" w:hanging="720"/>
      </w:pPr>
      <w:proofErr w:type="spellStart"/>
      <w:r>
        <w:t>Makowska</w:t>
      </w:r>
      <w:proofErr w:type="spellEnd"/>
      <w:r>
        <w:t xml:space="preserve"> </w:t>
      </w:r>
      <w:proofErr w:type="spellStart"/>
      <w:r>
        <w:t>Tłomak</w:t>
      </w:r>
      <w:proofErr w:type="spellEnd"/>
      <w:r>
        <w:t xml:space="preserve">, E., </w:t>
      </w:r>
      <w:proofErr w:type="spellStart"/>
      <w:r>
        <w:t>Bedyńska</w:t>
      </w:r>
      <w:proofErr w:type="spellEnd"/>
      <w:r>
        <w:t xml:space="preserve">, S., </w:t>
      </w:r>
      <w:proofErr w:type="spellStart"/>
      <w:r>
        <w:t>Skorupska</w:t>
      </w:r>
      <w:proofErr w:type="spellEnd"/>
      <w:r>
        <w:t xml:space="preserve">, K., </w:t>
      </w:r>
      <w:proofErr w:type="spellStart"/>
      <w:r>
        <w:t>Nielek</w:t>
      </w:r>
      <w:proofErr w:type="spellEnd"/>
      <w:r>
        <w:t xml:space="preserve">, R., </w:t>
      </w:r>
      <w:proofErr w:type="spellStart"/>
      <w:r>
        <w:t>Kornacka</w:t>
      </w:r>
      <w:proofErr w:type="spellEnd"/>
      <w:r>
        <w:t xml:space="preserve">, M. &amp; </w:t>
      </w:r>
      <w:proofErr w:type="spellStart"/>
      <w:r>
        <w:t>Kopeć</w:t>
      </w:r>
      <w:proofErr w:type="spellEnd"/>
      <w:r>
        <w:t xml:space="preserve">, W. 2023. Measuring digital transformation stress at the workplace: Development and validation of the digital transformation stress scale. </w:t>
      </w:r>
      <w:r>
        <w:rPr>
          <w:rStyle w:val="Emphasis"/>
        </w:rPr>
        <w:t>PLOS ONE</w:t>
      </w:r>
      <w:r>
        <w:t xml:space="preserve">, 18(10): e0287223. </w:t>
      </w:r>
      <w:hyperlink r:id="rId13" w:tgtFrame="_new" w:history="1">
        <w:r>
          <w:rPr>
            <w:rStyle w:val="Hyperlink"/>
          </w:rPr>
          <w:t>https://doi.org/10.1371/journal.pone.0287223</w:t>
        </w:r>
      </w:hyperlink>
      <w:r>
        <w:t xml:space="preserve"> 30 April 2026.</w:t>
      </w:r>
    </w:p>
    <w:p w:rsidR="007B0F9C" w:rsidRDefault="007B0F9C" w:rsidP="007B0F9C">
      <w:pPr>
        <w:pStyle w:val="NormalWeb"/>
        <w:spacing w:before="0" w:beforeAutospacing="0" w:after="0" w:afterAutospacing="0" w:line="480" w:lineRule="auto"/>
        <w:ind w:left="720" w:hanging="720"/>
      </w:pPr>
      <w:proofErr w:type="spellStart"/>
      <w:r>
        <w:lastRenderedPageBreak/>
        <w:t>Mutambik</w:t>
      </w:r>
      <w:proofErr w:type="spellEnd"/>
      <w:r>
        <w:t xml:space="preserve">, I. &amp; </w:t>
      </w:r>
      <w:proofErr w:type="spellStart"/>
      <w:r>
        <w:t>Almuqrin</w:t>
      </w:r>
      <w:proofErr w:type="spellEnd"/>
      <w:r>
        <w:t xml:space="preserve">, A. 2024. Employee Acceptance of Digital Transformation: A Study in a Smart City Context. </w:t>
      </w:r>
      <w:r>
        <w:rPr>
          <w:rStyle w:val="Emphasis"/>
        </w:rPr>
        <w:t>Sustainability</w:t>
      </w:r>
      <w:r>
        <w:t xml:space="preserve">, 16(4): 1398. </w:t>
      </w:r>
      <w:hyperlink r:id="rId14" w:tgtFrame="_new" w:history="1">
        <w:r>
          <w:rPr>
            <w:rStyle w:val="Hyperlink"/>
          </w:rPr>
          <w:t>https://doi.org/10.3390/su16041398</w:t>
        </w:r>
      </w:hyperlink>
      <w:r>
        <w:t xml:space="preserve"> 30 April 2026.</w:t>
      </w:r>
    </w:p>
    <w:p w:rsidR="007B0F9C" w:rsidRPr="007B0F9C" w:rsidRDefault="007B0F9C" w:rsidP="007B0F9C">
      <w:pPr>
        <w:spacing w:after="0" w:line="480" w:lineRule="auto"/>
      </w:pPr>
    </w:p>
    <w:sectPr w:rsidR="007B0F9C" w:rsidRPr="007B0F9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59C" w:rsidRDefault="00BE559C" w:rsidP="00AA620E">
      <w:pPr>
        <w:spacing w:after="0" w:line="240" w:lineRule="auto"/>
      </w:pPr>
      <w:r>
        <w:separator/>
      </w:r>
    </w:p>
  </w:endnote>
  <w:endnote w:type="continuationSeparator" w:id="0">
    <w:p w:rsidR="00BE559C" w:rsidRDefault="00BE559C" w:rsidP="00AA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59C" w:rsidRDefault="00BE559C" w:rsidP="00AA620E">
      <w:pPr>
        <w:spacing w:after="0" w:line="240" w:lineRule="auto"/>
      </w:pPr>
      <w:r>
        <w:separator/>
      </w:r>
    </w:p>
  </w:footnote>
  <w:footnote w:type="continuationSeparator" w:id="0">
    <w:p w:rsidR="00BE559C" w:rsidRDefault="00BE559C" w:rsidP="00AA6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926797"/>
      <w:docPartObj>
        <w:docPartGallery w:val="Page Numbers (Top of Page)"/>
        <w:docPartUnique/>
      </w:docPartObj>
    </w:sdtPr>
    <w:sdtEndPr>
      <w:rPr>
        <w:noProof/>
      </w:rPr>
    </w:sdtEndPr>
    <w:sdtContent>
      <w:p w:rsidR="00AA620E" w:rsidRDefault="00AA620E">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rsidR="00AA620E" w:rsidRDefault="00AA620E">
    <w:pPr>
      <w:pStyle w:val="Header"/>
    </w:pPr>
  </w:p>
  <w:p w:rsidR="00AA620E" w:rsidRDefault="00AA62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8F"/>
    <w:rsid w:val="00104647"/>
    <w:rsid w:val="007B0F9C"/>
    <w:rsid w:val="00AA620E"/>
    <w:rsid w:val="00AC018F"/>
    <w:rsid w:val="00BE53ED"/>
    <w:rsid w:val="00BE559C"/>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A4DE0-9BE7-4E5D-8D1E-AD04F7ED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0F9C"/>
    <w:pPr>
      <w:keepNext/>
      <w:keepLines/>
      <w:spacing w:before="240" w:after="0"/>
      <w:outlineLvl w:val="0"/>
    </w:pPr>
    <w:rPr>
      <w:rFonts w:ascii="Times New Roman" w:eastAsiaTheme="majorEastAsia" w:hAnsi="Times New Roman" w:cstheme="majorBidi"/>
      <w:b/>
      <w:i/>
      <w:color w:val="000000" w:themeColor="text1"/>
      <w:sz w:val="24"/>
      <w:szCs w:val="32"/>
    </w:rPr>
  </w:style>
  <w:style w:type="paragraph" w:styleId="Heading2">
    <w:name w:val="heading 2"/>
    <w:basedOn w:val="Normal"/>
    <w:link w:val="Heading2Char"/>
    <w:uiPriority w:val="9"/>
    <w:qFormat/>
    <w:rsid w:val="007B0F9C"/>
    <w:pPr>
      <w:spacing w:before="100" w:beforeAutospacing="1" w:after="100" w:afterAutospacing="1" w:line="240" w:lineRule="auto"/>
      <w:outlineLvl w:val="1"/>
    </w:pPr>
    <w:rPr>
      <w:rFonts w:ascii="Times New Roman" w:eastAsia="Times New Roman" w:hAnsi="Times New Roman" w:cs="Times New Roman"/>
      <w:bCs/>
      <w:i/>
      <w:sz w:val="24"/>
      <w:szCs w:val="36"/>
    </w:rPr>
  </w:style>
  <w:style w:type="paragraph" w:styleId="Heading3">
    <w:name w:val="heading 3"/>
    <w:basedOn w:val="Normal"/>
    <w:link w:val="Heading3Char"/>
    <w:uiPriority w:val="9"/>
    <w:qFormat/>
    <w:rsid w:val="00AC01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C01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0F9C"/>
    <w:rPr>
      <w:rFonts w:ascii="Times New Roman" w:eastAsia="Times New Roman" w:hAnsi="Times New Roman" w:cs="Times New Roman"/>
      <w:bCs/>
      <w:i/>
      <w:sz w:val="24"/>
      <w:szCs w:val="36"/>
    </w:rPr>
  </w:style>
  <w:style w:type="character" w:customStyle="1" w:styleId="Heading3Char">
    <w:name w:val="Heading 3 Char"/>
    <w:basedOn w:val="DefaultParagraphFont"/>
    <w:link w:val="Heading3"/>
    <w:uiPriority w:val="9"/>
    <w:rsid w:val="00AC018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C018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01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0F9C"/>
    <w:rPr>
      <w:rFonts w:ascii="Times New Roman" w:eastAsiaTheme="majorEastAsia" w:hAnsi="Times New Roman" w:cstheme="majorBidi"/>
      <w:b/>
      <w:i/>
      <w:color w:val="000000" w:themeColor="text1"/>
      <w:sz w:val="24"/>
      <w:szCs w:val="32"/>
    </w:rPr>
  </w:style>
  <w:style w:type="character" w:styleId="Emphasis">
    <w:name w:val="Emphasis"/>
    <w:basedOn w:val="DefaultParagraphFont"/>
    <w:uiPriority w:val="20"/>
    <w:qFormat/>
    <w:rsid w:val="007B0F9C"/>
    <w:rPr>
      <w:i/>
      <w:iCs/>
    </w:rPr>
  </w:style>
  <w:style w:type="character" w:styleId="Hyperlink">
    <w:name w:val="Hyperlink"/>
    <w:basedOn w:val="DefaultParagraphFont"/>
    <w:uiPriority w:val="99"/>
    <w:unhideWhenUsed/>
    <w:rsid w:val="007B0F9C"/>
    <w:rPr>
      <w:color w:val="0000FF"/>
      <w:u w:val="single"/>
    </w:rPr>
  </w:style>
  <w:style w:type="paragraph" w:styleId="TOCHeading">
    <w:name w:val="TOC Heading"/>
    <w:basedOn w:val="Heading1"/>
    <w:next w:val="Normal"/>
    <w:uiPriority w:val="39"/>
    <w:unhideWhenUsed/>
    <w:qFormat/>
    <w:rsid w:val="007B0F9C"/>
    <w:pPr>
      <w:outlineLvl w:val="9"/>
    </w:pPr>
    <w:rPr>
      <w:rFonts w:asciiTheme="majorHAnsi" w:hAnsiTheme="majorHAnsi"/>
      <w:b w:val="0"/>
      <w:i w:val="0"/>
      <w:color w:val="2E74B5" w:themeColor="accent1" w:themeShade="BF"/>
      <w:sz w:val="32"/>
    </w:rPr>
  </w:style>
  <w:style w:type="paragraph" w:styleId="TOC1">
    <w:name w:val="toc 1"/>
    <w:basedOn w:val="Normal"/>
    <w:next w:val="Normal"/>
    <w:autoRedefine/>
    <w:uiPriority w:val="39"/>
    <w:unhideWhenUsed/>
    <w:rsid w:val="007B0F9C"/>
    <w:pPr>
      <w:spacing w:after="100"/>
    </w:pPr>
  </w:style>
  <w:style w:type="paragraph" w:styleId="TOC2">
    <w:name w:val="toc 2"/>
    <w:basedOn w:val="Normal"/>
    <w:next w:val="Normal"/>
    <w:autoRedefine/>
    <w:uiPriority w:val="39"/>
    <w:unhideWhenUsed/>
    <w:rsid w:val="007B0F9C"/>
    <w:pPr>
      <w:spacing w:after="100"/>
      <w:ind w:left="220"/>
    </w:pPr>
  </w:style>
  <w:style w:type="paragraph" w:styleId="Header">
    <w:name w:val="header"/>
    <w:basedOn w:val="Normal"/>
    <w:link w:val="HeaderChar"/>
    <w:uiPriority w:val="99"/>
    <w:unhideWhenUsed/>
    <w:rsid w:val="00AA6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0E"/>
  </w:style>
  <w:style w:type="paragraph" w:styleId="Footer">
    <w:name w:val="footer"/>
    <w:basedOn w:val="Normal"/>
    <w:link w:val="FooterChar"/>
    <w:uiPriority w:val="99"/>
    <w:unhideWhenUsed/>
    <w:rsid w:val="00AA6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1228">
      <w:bodyDiv w:val="1"/>
      <w:marLeft w:val="0"/>
      <w:marRight w:val="0"/>
      <w:marTop w:val="0"/>
      <w:marBottom w:val="0"/>
      <w:divBdr>
        <w:top w:val="none" w:sz="0" w:space="0" w:color="auto"/>
        <w:left w:val="none" w:sz="0" w:space="0" w:color="auto"/>
        <w:bottom w:val="none" w:sz="0" w:space="0" w:color="auto"/>
        <w:right w:val="none" w:sz="0" w:space="0" w:color="auto"/>
      </w:divBdr>
      <w:divsChild>
        <w:div w:id="919677748">
          <w:marLeft w:val="0"/>
          <w:marRight w:val="0"/>
          <w:marTop w:val="0"/>
          <w:marBottom w:val="0"/>
          <w:divBdr>
            <w:top w:val="none" w:sz="0" w:space="0" w:color="auto"/>
            <w:left w:val="none" w:sz="0" w:space="0" w:color="auto"/>
            <w:bottom w:val="none" w:sz="0" w:space="0" w:color="auto"/>
            <w:right w:val="none" w:sz="0" w:space="0" w:color="auto"/>
          </w:divBdr>
          <w:divsChild>
            <w:div w:id="1057826443">
              <w:marLeft w:val="0"/>
              <w:marRight w:val="0"/>
              <w:marTop w:val="0"/>
              <w:marBottom w:val="0"/>
              <w:divBdr>
                <w:top w:val="none" w:sz="0" w:space="0" w:color="auto"/>
                <w:left w:val="none" w:sz="0" w:space="0" w:color="auto"/>
                <w:bottom w:val="none" w:sz="0" w:space="0" w:color="auto"/>
                <w:right w:val="none" w:sz="0" w:space="0" w:color="auto"/>
              </w:divBdr>
              <w:divsChild>
                <w:div w:id="1245645906">
                  <w:marLeft w:val="0"/>
                  <w:marRight w:val="0"/>
                  <w:marTop w:val="0"/>
                  <w:marBottom w:val="0"/>
                  <w:divBdr>
                    <w:top w:val="none" w:sz="0" w:space="0" w:color="auto"/>
                    <w:left w:val="none" w:sz="0" w:space="0" w:color="auto"/>
                    <w:bottom w:val="none" w:sz="0" w:space="0" w:color="auto"/>
                    <w:right w:val="none" w:sz="0" w:space="0" w:color="auto"/>
                  </w:divBdr>
                  <w:divsChild>
                    <w:div w:id="1791044833">
                      <w:marLeft w:val="0"/>
                      <w:marRight w:val="0"/>
                      <w:marTop w:val="0"/>
                      <w:marBottom w:val="0"/>
                      <w:divBdr>
                        <w:top w:val="none" w:sz="0" w:space="0" w:color="auto"/>
                        <w:left w:val="none" w:sz="0" w:space="0" w:color="auto"/>
                        <w:bottom w:val="none" w:sz="0" w:space="0" w:color="auto"/>
                        <w:right w:val="none" w:sz="0" w:space="0" w:color="auto"/>
                      </w:divBdr>
                      <w:divsChild>
                        <w:div w:id="261649762">
                          <w:marLeft w:val="0"/>
                          <w:marRight w:val="0"/>
                          <w:marTop w:val="0"/>
                          <w:marBottom w:val="0"/>
                          <w:divBdr>
                            <w:top w:val="none" w:sz="0" w:space="0" w:color="auto"/>
                            <w:left w:val="none" w:sz="0" w:space="0" w:color="auto"/>
                            <w:bottom w:val="none" w:sz="0" w:space="0" w:color="auto"/>
                            <w:right w:val="none" w:sz="0" w:space="0" w:color="auto"/>
                          </w:divBdr>
                          <w:divsChild>
                            <w:div w:id="59755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02767">
      <w:bodyDiv w:val="1"/>
      <w:marLeft w:val="0"/>
      <w:marRight w:val="0"/>
      <w:marTop w:val="0"/>
      <w:marBottom w:val="0"/>
      <w:divBdr>
        <w:top w:val="none" w:sz="0" w:space="0" w:color="auto"/>
        <w:left w:val="none" w:sz="0" w:space="0" w:color="auto"/>
        <w:bottom w:val="none" w:sz="0" w:space="0" w:color="auto"/>
        <w:right w:val="none" w:sz="0" w:space="0" w:color="auto"/>
      </w:divBdr>
    </w:div>
    <w:div w:id="1665744940">
      <w:bodyDiv w:val="1"/>
      <w:marLeft w:val="0"/>
      <w:marRight w:val="0"/>
      <w:marTop w:val="0"/>
      <w:marBottom w:val="0"/>
      <w:divBdr>
        <w:top w:val="none" w:sz="0" w:space="0" w:color="auto"/>
        <w:left w:val="none" w:sz="0" w:space="0" w:color="auto"/>
        <w:bottom w:val="none" w:sz="0" w:space="0" w:color="auto"/>
        <w:right w:val="none" w:sz="0" w:space="0" w:color="auto"/>
      </w:divBdr>
      <w:divsChild>
        <w:div w:id="2128428390">
          <w:marLeft w:val="0"/>
          <w:marRight w:val="0"/>
          <w:marTop w:val="0"/>
          <w:marBottom w:val="0"/>
          <w:divBdr>
            <w:top w:val="none" w:sz="0" w:space="0" w:color="auto"/>
            <w:left w:val="none" w:sz="0" w:space="0" w:color="auto"/>
            <w:bottom w:val="none" w:sz="0" w:space="0" w:color="auto"/>
            <w:right w:val="none" w:sz="0" w:space="0" w:color="auto"/>
          </w:divBdr>
          <w:divsChild>
            <w:div w:id="69040820">
              <w:marLeft w:val="0"/>
              <w:marRight w:val="0"/>
              <w:marTop w:val="0"/>
              <w:marBottom w:val="0"/>
              <w:divBdr>
                <w:top w:val="none" w:sz="0" w:space="0" w:color="auto"/>
                <w:left w:val="none" w:sz="0" w:space="0" w:color="auto"/>
                <w:bottom w:val="none" w:sz="0" w:space="0" w:color="auto"/>
                <w:right w:val="none" w:sz="0" w:space="0" w:color="auto"/>
              </w:divBdr>
              <w:divsChild>
                <w:div w:id="1820922691">
                  <w:marLeft w:val="0"/>
                  <w:marRight w:val="0"/>
                  <w:marTop w:val="0"/>
                  <w:marBottom w:val="0"/>
                  <w:divBdr>
                    <w:top w:val="none" w:sz="0" w:space="0" w:color="auto"/>
                    <w:left w:val="none" w:sz="0" w:space="0" w:color="auto"/>
                    <w:bottom w:val="none" w:sz="0" w:space="0" w:color="auto"/>
                    <w:right w:val="none" w:sz="0" w:space="0" w:color="auto"/>
                  </w:divBdr>
                  <w:divsChild>
                    <w:div w:id="175273445">
                      <w:marLeft w:val="0"/>
                      <w:marRight w:val="0"/>
                      <w:marTop w:val="0"/>
                      <w:marBottom w:val="0"/>
                      <w:divBdr>
                        <w:top w:val="none" w:sz="0" w:space="0" w:color="auto"/>
                        <w:left w:val="none" w:sz="0" w:space="0" w:color="auto"/>
                        <w:bottom w:val="none" w:sz="0" w:space="0" w:color="auto"/>
                        <w:right w:val="none" w:sz="0" w:space="0" w:color="auto"/>
                      </w:divBdr>
                      <w:divsChild>
                        <w:div w:id="620382760">
                          <w:marLeft w:val="0"/>
                          <w:marRight w:val="0"/>
                          <w:marTop w:val="0"/>
                          <w:marBottom w:val="0"/>
                          <w:divBdr>
                            <w:top w:val="none" w:sz="0" w:space="0" w:color="auto"/>
                            <w:left w:val="none" w:sz="0" w:space="0" w:color="auto"/>
                            <w:bottom w:val="none" w:sz="0" w:space="0" w:color="auto"/>
                            <w:right w:val="none" w:sz="0" w:space="0" w:color="auto"/>
                          </w:divBdr>
                          <w:divsChild>
                            <w:div w:id="17416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3790">
          <w:marLeft w:val="0"/>
          <w:marRight w:val="0"/>
          <w:marTop w:val="0"/>
          <w:marBottom w:val="0"/>
          <w:divBdr>
            <w:top w:val="none" w:sz="0" w:space="0" w:color="auto"/>
            <w:left w:val="none" w:sz="0" w:space="0" w:color="auto"/>
            <w:bottom w:val="none" w:sz="0" w:space="0" w:color="auto"/>
            <w:right w:val="none" w:sz="0" w:space="0" w:color="auto"/>
          </w:divBdr>
          <w:divsChild>
            <w:div w:id="1061441974">
              <w:marLeft w:val="0"/>
              <w:marRight w:val="0"/>
              <w:marTop w:val="0"/>
              <w:marBottom w:val="0"/>
              <w:divBdr>
                <w:top w:val="none" w:sz="0" w:space="0" w:color="auto"/>
                <w:left w:val="none" w:sz="0" w:space="0" w:color="auto"/>
                <w:bottom w:val="none" w:sz="0" w:space="0" w:color="auto"/>
                <w:right w:val="none" w:sz="0" w:space="0" w:color="auto"/>
              </w:divBdr>
              <w:divsChild>
                <w:div w:id="702559197">
                  <w:marLeft w:val="0"/>
                  <w:marRight w:val="0"/>
                  <w:marTop w:val="0"/>
                  <w:marBottom w:val="0"/>
                  <w:divBdr>
                    <w:top w:val="none" w:sz="0" w:space="0" w:color="auto"/>
                    <w:left w:val="none" w:sz="0" w:space="0" w:color="auto"/>
                    <w:bottom w:val="none" w:sz="0" w:space="0" w:color="auto"/>
                    <w:right w:val="none" w:sz="0" w:space="0" w:color="auto"/>
                  </w:divBdr>
                  <w:divsChild>
                    <w:div w:id="1093940088">
                      <w:marLeft w:val="0"/>
                      <w:marRight w:val="0"/>
                      <w:marTop w:val="0"/>
                      <w:marBottom w:val="0"/>
                      <w:divBdr>
                        <w:top w:val="none" w:sz="0" w:space="0" w:color="auto"/>
                        <w:left w:val="none" w:sz="0" w:space="0" w:color="auto"/>
                        <w:bottom w:val="none" w:sz="0" w:space="0" w:color="auto"/>
                        <w:right w:val="none" w:sz="0" w:space="0" w:color="auto"/>
                      </w:divBdr>
                      <w:divsChild>
                        <w:div w:id="583881495">
                          <w:marLeft w:val="0"/>
                          <w:marRight w:val="0"/>
                          <w:marTop w:val="0"/>
                          <w:marBottom w:val="0"/>
                          <w:divBdr>
                            <w:top w:val="none" w:sz="0" w:space="0" w:color="auto"/>
                            <w:left w:val="none" w:sz="0" w:space="0" w:color="auto"/>
                            <w:bottom w:val="none" w:sz="0" w:space="0" w:color="auto"/>
                            <w:right w:val="none" w:sz="0" w:space="0" w:color="auto"/>
                          </w:divBdr>
                          <w:divsChild>
                            <w:div w:id="21715391">
                              <w:marLeft w:val="0"/>
                              <w:marRight w:val="0"/>
                              <w:marTop w:val="0"/>
                              <w:marBottom w:val="0"/>
                              <w:divBdr>
                                <w:top w:val="none" w:sz="0" w:space="0" w:color="auto"/>
                                <w:left w:val="none" w:sz="0" w:space="0" w:color="auto"/>
                                <w:bottom w:val="none" w:sz="0" w:space="0" w:color="auto"/>
                                <w:right w:val="none" w:sz="0" w:space="0" w:color="auto"/>
                              </w:divBdr>
                              <w:divsChild>
                                <w:div w:id="3152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761538">
          <w:marLeft w:val="0"/>
          <w:marRight w:val="0"/>
          <w:marTop w:val="0"/>
          <w:marBottom w:val="0"/>
          <w:divBdr>
            <w:top w:val="none" w:sz="0" w:space="0" w:color="auto"/>
            <w:left w:val="none" w:sz="0" w:space="0" w:color="auto"/>
            <w:bottom w:val="none" w:sz="0" w:space="0" w:color="auto"/>
            <w:right w:val="none" w:sz="0" w:space="0" w:color="auto"/>
          </w:divBdr>
          <w:divsChild>
            <w:div w:id="243415416">
              <w:marLeft w:val="0"/>
              <w:marRight w:val="0"/>
              <w:marTop w:val="0"/>
              <w:marBottom w:val="0"/>
              <w:divBdr>
                <w:top w:val="none" w:sz="0" w:space="0" w:color="auto"/>
                <w:left w:val="none" w:sz="0" w:space="0" w:color="auto"/>
                <w:bottom w:val="none" w:sz="0" w:space="0" w:color="auto"/>
                <w:right w:val="none" w:sz="0" w:space="0" w:color="auto"/>
              </w:divBdr>
              <w:divsChild>
                <w:div w:id="556013890">
                  <w:marLeft w:val="0"/>
                  <w:marRight w:val="0"/>
                  <w:marTop w:val="0"/>
                  <w:marBottom w:val="0"/>
                  <w:divBdr>
                    <w:top w:val="none" w:sz="0" w:space="0" w:color="auto"/>
                    <w:left w:val="none" w:sz="0" w:space="0" w:color="auto"/>
                    <w:bottom w:val="none" w:sz="0" w:space="0" w:color="auto"/>
                    <w:right w:val="none" w:sz="0" w:space="0" w:color="auto"/>
                  </w:divBdr>
                  <w:divsChild>
                    <w:div w:id="1815368574">
                      <w:marLeft w:val="0"/>
                      <w:marRight w:val="0"/>
                      <w:marTop w:val="0"/>
                      <w:marBottom w:val="0"/>
                      <w:divBdr>
                        <w:top w:val="none" w:sz="0" w:space="0" w:color="auto"/>
                        <w:left w:val="none" w:sz="0" w:space="0" w:color="auto"/>
                        <w:bottom w:val="none" w:sz="0" w:space="0" w:color="auto"/>
                        <w:right w:val="none" w:sz="0" w:space="0" w:color="auto"/>
                      </w:divBdr>
                      <w:divsChild>
                        <w:div w:id="1478062835">
                          <w:marLeft w:val="0"/>
                          <w:marRight w:val="0"/>
                          <w:marTop w:val="0"/>
                          <w:marBottom w:val="0"/>
                          <w:divBdr>
                            <w:top w:val="none" w:sz="0" w:space="0" w:color="auto"/>
                            <w:left w:val="none" w:sz="0" w:space="0" w:color="auto"/>
                            <w:bottom w:val="none" w:sz="0" w:space="0" w:color="auto"/>
                            <w:right w:val="none" w:sz="0" w:space="0" w:color="auto"/>
                          </w:divBdr>
                          <w:divsChild>
                            <w:div w:id="11769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057252">
          <w:marLeft w:val="0"/>
          <w:marRight w:val="0"/>
          <w:marTop w:val="0"/>
          <w:marBottom w:val="0"/>
          <w:divBdr>
            <w:top w:val="none" w:sz="0" w:space="0" w:color="auto"/>
            <w:left w:val="none" w:sz="0" w:space="0" w:color="auto"/>
            <w:bottom w:val="none" w:sz="0" w:space="0" w:color="auto"/>
            <w:right w:val="none" w:sz="0" w:space="0" w:color="auto"/>
          </w:divBdr>
          <w:divsChild>
            <w:div w:id="1724405510">
              <w:marLeft w:val="0"/>
              <w:marRight w:val="0"/>
              <w:marTop w:val="0"/>
              <w:marBottom w:val="0"/>
              <w:divBdr>
                <w:top w:val="none" w:sz="0" w:space="0" w:color="auto"/>
                <w:left w:val="none" w:sz="0" w:space="0" w:color="auto"/>
                <w:bottom w:val="none" w:sz="0" w:space="0" w:color="auto"/>
                <w:right w:val="none" w:sz="0" w:space="0" w:color="auto"/>
              </w:divBdr>
              <w:divsChild>
                <w:div w:id="1460028327">
                  <w:marLeft w:val="0"/>
                  <w:marRight w:val="0"/>
                  <w:marTop w:val="0"/>
                  <w:marBottom w:val="0"/>
                  <w:divBdr>
                    <w:top w:val="none" w:sz="0" w:space="0" w:color="auto"/>
                    <w:left w:val="none" w:sz="0" w:space="0" w:color="auto"/>
                    <w:bottom w:val="none" w:sz="0" w:space="0" w:color="auto"/>
                    <w:right w:val="none" w:sz="0" w:space="0" w:color="auto"/>
                  </w:divBdr>
                  <w:divsChild>
                    <w:div w:id="1182663279">
                      <w:marLeft w:val="0"/>
                      <w:marRight w:val="0"/>
                      <w:marTop w:val="0"/>
                      <w:marBottom w:val="0"/>
                      <w:divBdr>
                        <w:top w:val="none" w:sz="0" w:space="0" w:color="auto"/>
                        <w:left w:val="none" w:sz="0" w:space="0" w:color="auto"/>
                        <w:bottom w:val="none" w:sz="0" w:space="0" w:color="auto"/>
                        <w:right w:val="none" w:sz="0" w:space="0" w:color="auto"/>
                      </w:divBdr>
                      <w:divsChild>
                        <w:div w:id="1530798541">
                          <w:marLeft w:val="0"/>
                          <w:marRight w:val="0"/>
                          <w:marTop w:val="0"/>
                          <w:marBottom w:val="0"/>
                          <w:divBdr>
                            <w:top w:val="none" w:sz="0" w:space="0" w:color="auto"/>
                            <w:left w:val="none" w:sz="0" w:space="0" w:color="auto"/>
                            <w:bottom w:val="none" w:sz="0" w:space="0" w:color="auto"/>
                            <w:right w:val="none" w:sz="0" w:space="0" w:color="auto"/>
                          </w:divBdr>
                          <w:divsChild>
                            <w:div w:id="1797793954">
                              <w:marLeft w:val="0"/>
                              <w:marRight w:val="0"/>
                              <w:marTop w:val="0"/>
                              <w:marBottom w:val="0"/>
                              <w:divBdr>
                                <w:top w:val="none" w:sz="0" w:space="0" w:color="auto"/>
                                <w:left w:val="none" w:sz="0" w:space="0" w:color="auto"/>
                                <w:bottom w:val="none" w:sz="0" w:space="0" w:color="auto"/>
                                <w:right w:val="none" w:sz="0" w:space="0" w:color="auto"/>
                              </w:divBdr>
                              <w:divsChild>
                                <w:div w:id="9058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392949">
          <w:marLeft w:val="0"/>
          <w:marRight w:val="0"/>
          <w:marTop w:val="0"/>
          <w:marBottom w:val="0"/>
          <w:divBdr>
            <w:top w:val="none" w:sz="0" w:space="0" w:color="auto"/>
            <w:left w:val="none" w:sz="0" w:space="0" w:color="auto"/>
            <w:bottom w:val="none" w:sz="0" w:space="0" w:color="auto"/>
            <w:right w:val="none" w:sz="0" w:space="0" w:color="auto"/>
          </w:divBdr>
          <w:divsChild>
            <w:div w:id="1991323704">
              <w:marLeft w:val="0"/>
              <w:marRight w:val="0"/>
              <w:marTop w:val="0"/>
              <w:marBottom w:val="0"/>
              <w:divBdr>
                <w:top w:val="none" w:sz="0" w:space="0" w:color="auto"/>
                <w:left w:val="none" w:sz="0" w:space="0" w:color="auto"/>
                <w:bottom w:val="none" w:sz="0" w:space="0" w:color="auto"/>
                <w:right w:val="none" w:sz="0" w:space="0" w:color="auto"/>
              </w:divBdr>
              <w:divsChild>
                <w:div w:id="742918725">
                  <w:marLeft w:val="0"/>
                  <w:marRight w:val="0"/>
                  <w:marTop w:val="0"/>
                  <w:marBottom w:val="0"/>
                  <w:divBdr>
                    <w:top w:val="none" w:sz="0" w:space="0" w:color="auto"/>
                    <w:left w:val="none" w:sz="0" w:space="0" w:color="auto"/>
                    <w:bottom w:val="none" w:sz="0" w:space="0" w:color="auto"/>
                    <w:right w:val="none" w:sz="0" w:space="0" w:color="auto"/>
                  </w:divBdr>
                  <w:divsChild>
                    <w:div w:id="1625455409">
                      <w:marLeft w:val="0"/>
                      <w:marRight w:val="0"/>
                      <w:marTop w:val="0"/>
                      <w:marBottom w:val="0"/>
                      <w:divBdr>
                        <w:top w:val="none" w:sz="0" w:space="0" w:color="auto"/>
                        <w:left w:val="none" w:sz="0" w:space="0" w:color="auto"/>
                        <w:bottom w:val="none" w:sz="0" w:space="0" w:color="auto"/>
                        <w:right w:val="none" w:sz="0" w:space="0" w:color="auto"/>
                      </w:divBdr>
                      <w:divsChild>
                        <w:div w:id="240725154">
                          <w:marLeft w:val="0"/>
                          <w:marRight w:val="0"/>
                          <w:marTop w:val="0"/>
                          <w:marBottom w:val="0"/>
                          <w:divBdr>
                            <w:top w:val="none" w:sz="0" w:space="0" w:color="auto"/>
                            <w:left w:val="none" w:sz="0" w:space="0" w:color="auto"/>
                            <w:bottom w:val="none" w:sz="0" w:space="0" w:color="auto"/>
                            <w:right w:val="none" w:sz="0" w:space="0" w:color="auto"/>
                          </w:divBdr>
                          <w:divsChild>
                            <w:div w:id="12325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9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2.787223" TargetMode="External"/><Relationship Id="rId13" Type="http://schemas.openxmlformats.org/officeDocument/2006/relationships/hyperlink" Target="https://doi.org/10.1371/journal.pone.0287223" TargetMode="External"/><Relationship Id="rId3" Type="http://schemas.openxmlformats.org/officeDocument/2006/relationships/settings" Target="settings.xml"/><Relationship Id="rId7" Type="http://schemas.openxmlformats.org/officeDocument/2006/relationships/hyperlink" Target="https://doi.org/10.3389/fpsyg.2022.910206" TargetMode="External"/><Relationship Id="rId12" Type="http://schemas.openxmlformats.org/officeDocument/2006/relationships/hyperlink" Target="https://doi.org/10.1371/journal.pone.030662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fpsyg.2022.8418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89/fpsyg.2023.1147002" TargetMode="External"/><Relationship Id="rId4" Type="http://schemas.openxmlformats.org/officeDocument/2006/relationships/webSettings" Target="webSettings.xml"/><Relationship Id="rId9" Type="http://schemas.openxmlformats.org/officeDocument/2006/relationships/hyperlink" Target="https://doi.org/10.1371/journal.pone.0282307" TargetMode="External"/><Relationship Id="rId14" Type="http://schemas.openxmlformats.org/officeDocument/2006/relationships/hyperlink" Target="https://doi.org/10.3390/su16041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7712-412D-470F-B17F-D457230B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2026-05-02T05:12:00Z</dcterms:created>
  <dcterms:modified xsi:type="dcterms:W3CDTF">2026-05-02T06:42:00Z</dcterms:modified>
</cp:coreProperties>
</file>