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C43A5C" w14:paraId="21493B37" w14:textId="77777777">
      <w:pPr>
        <w:spacing w:line="480" w:lineRule="auto"/>
      </w:pPr>
    </w:p>
    <w:p w:rsidR="00C43A5C" w14:paraId="11717032" w14:textId="77777777">
      <w:pPr>
        <w:spacing w:line="480" w:lineRule="auto"/>
      </w:pPr>
    </w:p>
    <w:p w:rsidR="00C43A5C" w14:paraId="47E9DF04" w14:textId="77777777">
      <w:pPr>
        <w:spacing w:line="480" w:lineRule="auto"/>
      </w:pPr>
    </w:p>
    <w:p w:rsidR="00B71BBA" w14:paraId="16AFB60D" w14:textId="77777777">
      <w:pPr>
        <w:spacing w:line="480" w:lineRule="auto"/>
        <w:jc w:val="center"/>
        <w:rPr>
          <w:b/>
          <w:bCs/>
          <w:sz w:val="24"/>
          <w:szCs w:val="24"/>
        </w:rPr>
      </w:pPr>
    </w:p>
    <w:p w:rsidR="00B71BBA" w14:paraId="6EAF5216" w14:textId="77777777">
      <w:pPr>
        <w:spacing w:line="480" w:lineRule="auto"/>
        <w:jc w:val="center"/>
        <w:rPr>
          <w:b/>
          <w:bCs/>
          <w:sz w:val="24"/>
          <w:szCs w:val="24"/>
        </w:rPr>
      </w:pPr>
    </w:p>
    <w:p w:rsidR="00B71BBA" w14:paraId="5DD8AC2C" w14:textId="77777777">
      <w:pPr>
        <w:spacing w:line="480" w:lineRule="auto"/>
        <w:jc w:val="center"/>
        <w:rPr>
          <w:b/>
          <w:bCs/>
          <w:sz w:val="24"/>
          <w:szCs w:val="24"/>
        </w:rPr>
      </w:pPr>
    </w:p>
    <w:p w:rsidR="00B71BBA" w14:paraId="4FE0D505" w14:textId="77777777">
      <w:pPr>
        <w:spacing w:line="480" w:lineRule="auto"/>
        <w:jc w:val="center"/>
        <w:rPr>
          <w:b/>
          <w:bCs/>
          <w:sz w:val="24"/>
          <w:szCs w:val="24"/>
        </w:rPr>
      </w:pPr>
    </w:p>
    <w:p w:rsidR="00C43A5C" w14:paraId="721D86C6" w14:textId="5C51F996">
      <w:pPr>
        <w:spacing w:line="480" w:lineRule="auto"/>
        <w:jc w:val="center"/>
      </w:pPr>
      <w:r>
        <w:rPr>
          <w:b/>
          <w:bCs/>
          <w:sz w:val="24"/>
          <w:szCs w:val="24"/>
        </w:rPr>
        <w:t>Journal Article Critique: Self-Directed Learning</w:t>
      </w:r>
    </w:p>
    <w:p w:rsidR="00C43A5C" w14:paraId="71C85077" w14:textId="77777777">
      <w:pPr>
        <w:spacing w:line="480" w:lineRule="auto"/>
      </w:pPr>
    </w:p>
    <w:p w:rsidR="00C43A5C" w:rsidP="00B71BBA" w14:paraId="6E96CF7D" w14:textId="01E3C977">
      <w:pPr>
        <w:spacing w:line="480" w:lineRule="auto"/>
        <w:jc w:val="center"/>
      </w:pPr>
      <w:r>
        <w:rPr>
          <w:sz w:val="24"/>
          <w:szCs w:val="24"/>
        </w:rPr>
        <w:t>[Student Name]</w:t>
      </w:r>
    </w:p>
    <w:p w:rsidR="00C43A5C" w:rsidP="00B71BBA" w14:paraId="443C164D" w14:textId="624B680E">
      <w:pPr>
        <w:spacing w:line="480" w:lineRule="auto"/>
        <w:jc w:val="center"/>
      </w:pPr>
      <w:r>
        <w:rPr>
          <w:sz w:val="24"/>
          <w:szCs w:val="24"/>
        </w:rPr>
        <w:t>[Course Name and Number]</w:t>
      </w:r>
    </w:p>
    <w:p w:rsidR="00C43A5C" w:rsidP="00B71BBA" w14:paraId="6BCED29A" w14:textId="7E74CF8E">
      <w:pPr>
        <w:spacing w:line="480" w:lineRule="auto"/>
        <w:jc w:val="center"/>
      </w:pPr>
      <w:r>
        <w:rPr>
          <w:sz w:val="24"/>
          <w:szCs w:val="24"/>
        </w:rPr>
        <w:t>[Institution Name]</w:t>
      </w:r>
    </w:p>
    <w:p w:rsidR="00C43A5C" w:rsidP="00B71BBA" w14:paraId="549020A0" w14:textId="7F125C88">
      <w:pPr>
        <w:spacing w:line="480" w:lineRule="auto"/>
        <w:jc w:val="center"/>
      </w:pPr>
      <w:r>
        <w:rPr>
          <w:sz w:val="24"/>
          <w:szCs w:val="24"/>
        </w:rPr>
        <w:t>[Instructor Name]</w:t>
      </w:r>
    </w:p>
    <w:p w:rsidR="00C43A5C" w14:paraId="38407C5B" w14:textId="1AA9CC61">
      <w:pPr>
        <w:spacing w:line="480" w:lineRule="auto"/>
        <w:jc w:val="center"/>
      </w:pPr>
      <w:r>
        <w:rPr>
          <w:sz w:val="24"/>
          <w:szCs w:val="24"/>
        </w:rPr>
        <w:t>May, 2026</w:t>
      </w:r>
    </w:p>
    <w:p w:rsidR="00C43A5C" w14:paraId="1CEF8DEC" w14:textId="77777777">
      <w:pPr>
        <w:sectPr>
          <w:headerReference w:type="default" r:id="rId4"/>
          <w:pgSz w:w="12240" w:h="15840"/>
          <w:pgMar w:top="1440" w:right="1440" w:bottom="1440" w:left="1440" w:header="708" w:footer="708" w:gutter="0"/>
          <w:cols w:space="720"/>
          <w:docGrid w:linePitch="360"/>
        </w:sectPr>
      </w:pPr>
    </w:p>
    <w:p w:rsidR="00C43A5C" w:rsidP="00B71BBA" w14:paraId="64008E22" w14:textId="7F58FF5F">
      <w:pPr>
        <w:spacing w:line="480" w:lineRule="auto"/>
        <w:jc w:val="center"/>
      </w:pPr>
      <w:r>
        <w:rPr>
          <w:b/>
          <w:bCs/>
          <w:sz w:val="24"/>
          <w:szCs w:val="24"/>
        </w:rPr>
        <w:t>Journal Article Critique: Self-Directed Learning</w:t>
      </w:r>
    </w:p>
    <w:p w:rsidR="00C43A5C" w:rsidP="00B71BBA" w14:paraId="7BCFFA31" w14:textId="238D1E67">
      <w:pPr>
        <w:spacing w:line="480" w:lineRule="auto"/>
        <w:ind w:firstLine="720"/>
      </w:pPr>
      <w:r w:rsidRPr="00B71BBA">
        <w:rPr>
          <w:sz w:val="24"/>
          <w:szCs w:val="24"/>
        </w:rPr>
        <w:t xml:space="preserve">Self-directed learning (SDL) is an essential concept in the modern educational theory because all types of institutions increasingly strive to produce autonomous, motivated, and lifelong learners. This review </w:t>
      </w:r>
      <w:r w:rsidRPr="00B71BBA">
        <w:rPr>
          <w:sz w:val="24"/>
          <w:szCs w:val="24"/>
        </w:rPr>
        <w:t>analyzes</w:t>
      </w:r>
      <w:r w:rsidRPr="00B71BBA">
        <w:rPr>
          <w:sz w:val="24"/>
          <w:szCs w:val="24"/>
        </w:rPr>
        <w:t xml:space="preserve"> an open-access, peer-reviewed article by Finn, Fitzgibbon, Fonda, and Gosling (2024), titled Self-directed learning and the student learning experience in undergraduate programs in clinical science: a scoping review. The article introduces an intensive scoping review that identifies the drivers of the student learning process within SDL-based curricula in an intensive manner</w:t>
      </w:r>
      <w:r w:rsidR="00000000">
        <w:rPr>
          <w:sz w:val="24"/>
          <w:szCs w:val="24"/>
        </w:rPr>
        <w:t>.</w:t>
      </w:r>
    </w:p>
    <w:p w:rsidR="00C43A5C" w:rsidP="00B71BBA" w14:paraId="3C5E9121" w14:textId="726B71F7">
      <w:pPr>
        <w:spacing w:line="480" w:lineRule="auto"/>
        <w:jc w:val="center"/>
      </w:pPr>
      <w:r>
        <w:rPr>
          <w:b/>
          <w:bCs/>
          <w:sz w:val="24"/>
          <w:szCs w:val="24"/>
        </w:rPr>
        <w:t>Summary of the Author's Position</w:t>
      </w:r>
    </w:p>
    <w:p w:rsidR="00C43A5C" w:rsidP="00B71BBA" w14:paraId="7CC15B49" w14:textId="3B754214">
      <w:pPr>
        <w:spacing w:line="480" w:lineRule="auto"/>
        <w:ind w:firstLine="720"/>
      </w:pPr>
      <w:r w:rsidRPr="00B71BBA">
        <w:rPr>
          <w:sz w:val="24"/>
          <w:szCs w:val="24"/>
        </w:rPr>
        <w:t xml:space="preserve">Finn et al. (2024) discuss the idea that SDL has been transformed into a core aspect of andragogical practices in tertiary education, and specifically within health professional programs. Based on the foundational definition given by Knowles when he is cited within the review, SDL is portrayed as a process where individuals take charge to diagnose their learning needs, set goals, identify resources, implement strategies, and evaluate results. The main idea of the authors is that the assumption that students come in as self-directed learners and are capable of mediating their own learning is inappropriate, and all the programs that do not provide the necessary amount of scaffolding to facilitate student achievement are misleading. Their scoping review involved a search on 5 databases: MEDLINE, Embase, </w:t>
      </w:r>
      <w:r w:rsidRPr="00B71BBA">
        <w:rPr>
          <w:sz w:val="24"/>
          <w:szCs w:val="24"/>
        </w:rPr>
        <w:t>Emcare</w:t>
      </w:r>
      <w:r w:rsidRPr="00B71BBA">
        <w:rPr>
          <w:sz w:val="24"/>
          <w:szCs w:val="24"/>
        </w:rPr>
        <w:t xml:space="preserve">, Scopus, and ERIC, and identified 19 articles that fit the inclusion criteria. Based on this analysis, five important factors were identified that enhance the SDL learning experience: (1) curricular factors, (2) educator factors, (3) peer factors, (4) learning environment factors, and (5) clinical placement experiences. The authors conclude that the knowledge of these factors would enable teachers to use SDL more intentionally and efficiently throughout the clinical science curriculum to ultimately produce </w:t>
      </w:r>
      <w:r w:rsidRPr="00B71BBA">
        <w:rPr>
          <w:sz w:val="24"/>
          <w:szCs w:val="24"/>
        </w:rPr>
        <w:t>graduates who are better prepared to meet the challenge posed by lifelong learning of professional knowledge in clinical science programs</w:t>
      </w:r>
      <w:r w:rsidR="00000000">
        <w:rPr>
          <w:sz w:val="24"/>
          <w:szCs w:val="24"/>
        </w:rPr>
        <w:t>.</w:t>
      </w:r>
    </w:p>
    <w:p w:rsidR="00C43A5C" w:rsidP="00B71BBA" w14:paraId="18C2363C" w14:textId="5DADF3FD">
      <w:pPr>
        <w:spacing w:line="480" w:lineRule="auto"/>
        <w:jc w:val="center"/>
      </w:pPr>
      <w:r>
        <w:rPr>
          <w:b/>
          <w:bCs/>
          <w:sz w:val="24"/>
          <w:szCs w:val="24"/>
        </w:rPr>
        <w:t>Analysis of the Author's Key Points</w:t>
      </w:r>
    </w:p>
    <w:p w:rsidR="00C43A5C" w:rsidP="00B71BBA" w14:paraId="46DB1F20" w14:textId="4F559273">
      <w:pPr>
        <w:spacing w:line="480" w:lineRule="auto"/>
        <w:ind w:firstLine="720"/>
      </w:pPr>
      <w:r w:rsidRPr="00B71BBA">
        <w:rPr>
          <w:sz w:val="24"/>
          <w:szCs w:val="24"/>
        </w:rPr>
        <w:t xml:space="preserve">Finn </w:t>
      </w:r>
      <w:r>
        <w:rPr>
          <w:sz w:val="24"/>
          <w:szCs w:val="24"/>
        </w:rPr>
        <w:t>and colleagues</w:t>
      </w:r>
      <w:r w:rsidRPr="00B71BBA">
        <w:rPr>
          <w:sz w:val="24"/>
          <w:szCs w:val="24"/>
        </w:rPr>
        <w:t xml:space="preserve"> (2024) provide a number of arguments that are substantiated. First, they state that SDL produces higher-order cognitive abilities - such as critical thinking, problem-solving, and self-efficacy - that cannot be attained by content-defined instruction alone, which are substantiated by various reviewed studies. Second, the authors strongly argue that it is not necessarily the case that students are self-directed; learners undergoing clinical science programs were often found lacking autonomous readiness, which argues against any program that implements SDL without first developing autonomous readiness. Third, the review offers a subtle interpretation of </w:t>
      </w:r>
      <w:r w:rsidRPr="00B71BBA">
        <w:rPr>
          <w:sz w:val="24"/>
          <w:szCs w:val="24"/>
        </w:rPr>
        <w:t>educators</w:t>
      </w:r>
      <w:r w:rsidRPr="00B71BBA">
        <w:rPr>
          <w:sz w:val="24"/>
          <w:szCs w:val="24"/>
        </w:rPr>
        <w:t xml:space="preserve">' influence, contending that effective SDL entails the instruction to offer more specific feedback, </w:t>
      </w:r>
      <w:r w:rsidRPr="00B71BBA">
        <w:rPr>
          <w:sz w:val="24"/>
          <w:szCs w:val="24"/>
        </w:rPr>
        <w:t>modeling</w:t>
      </w:r>
      <w:r w:rsidRPr="00B71BBA">
        <w:rPr>
          <w:sz w:val="24"/>
          <w:szCs w:val="24"/>
        </w:rPr>
        <w:t xml:space="preserve"> </w:t>
      </w:r>
      <w:r w:rsidRPr="00B71BBA">
        <w:rPr>
          <w:sz w:val="24"/>
          <w:szCs w:val="24"/>
        </w:rPr>
        <w:t>behaviors</w:t>
      </w:r>
      <w:r w:rsidRPr="00B71BBA">
        <w:rPr>
          <w:sz w:val="24"/>
          <w:szCs w:val="24"/>
        </w:rPr>
        <w:t xml:space="preserve"> of reflection, and ensuring psychologically safe classrooms instead of merely stepping out of the teaching process. This redefines SDL as the collaborative process between student agency and instructor facilitation instead of passive and unstructured independent work. Fourth, peer interaction has been introduced as a major SDL driver, and collaborative learning has been demonstrated to develop accountability and enhance comprehension. One major weakness is that all 19 studies are based on </w:t>
      </w:r>
      <w:r w:rsidRPr="00B71BBA">
        <w:rPr>
          <w:sz w:val="24"/>
          <w:szCs w:val="24"/>
        </w:rPr>
        <w:t>health-related</w:t>
      </w:r>
      <w:r w:rsidRPr="00B71BBA">
        <w:rPr>
          <w:sz w:val="24"/>
          <w:szCs w:val="24"/>
        </w:rPr>
        <w:t xml:space="preserve"> disciplines, a limitation that limits the possibility of generalization. However, the conceptual relevance of the five-factor model is such that it has remained clear well outside situational contexts of clinical science</w:t>
      </w:r>
      <w:r w:rsidR="00000000">
        <w:rPr>
          <w:sz w:val="24"/>
          <w:szCs w:val="24"/>
        </w:rPr>
        <w:t>.</w:t>
      </w:r>
    </w:p>
    <w:p w:rsidR="00C43A5C" w:rsidP="00B71BBA" w14:paraId="1AF08C81" w14:textId="513023C0">
      <w:pPr>
        <w:spacing w:line="480" w:lineRule="auto"/>
        <w:jc w:val="center"/>
      </w:pPr>
      <w:r>
        <w:rPr>
          <w:b/>
          <w:bCs/>
          <w:sz w:val="24"/>
          <w:szCs w:val="24"/>
        </w:rPr>
        <w:t>Application of the Article in the Classroom</w:t>
      </w:r>
    </w:p>
    <w:p w:rsidR="00C43A5C" w:rsidP="00B71BBA" w14:paraId="6B8813DC" w14:textId="6AD5324C">
      <w:pPr>
        <w:spacing w:line="480" w:lineRule="auto"/>
        <w:ind w:firstLine="720"/>
      </w:pPr>
      <w:r w:rsidRPr="00B71BBA">
        <w:rPr>
          <w:sz w:val="24"/>
          <w:szCs w:val="24"/>
        </w:rPr>
        <w:t xml:space="preserve">The five-factor model offers classroom educators a viable design model for the implementation of SDL purposefully. The factor of the curricular elements factor is the inclusion </w:t>
      </w:r>
      <w:r w:rsidRPr="00B71BBA">
        <w:rPr>
          <w:sz w:val="24"/>
          <w:szCs w:val="24"/>
        </w:rPr>
        <w:t xml:space="preserve">of SDL scaffolds directly within the course design, via self-assessment rubrics, choice-based assignments, and learning contracts, as opposed to believing that students can gain sufficient control over the open-ended tasks by distributing the implementation responsibility to the students themselves. Outcomes of educator influence </w:t>
      </w:r>
      <w:r w:rsidRPr="00B71BBA">
        <w:rPr>
          <w:sz w:val="24"/>
          <w:szCs w:val="24"/>
        </w:rPr>
        <w:t>favor</w:t>
      </w:r>
      <w:r w:rsidRPr="00B71BBA">
        <w:rPr>
          <w:sz w:val="24"/>
          <w:szCs w:val="24"/>
        </w:rPr>
        <w:t xml:space="preserve"> the gradual release model: after </w:t>
      </w:r>
      <w:r w:rsidRPr="00B71BBA">
        <w:rPr>
          <w:sz w:val="24"/>
          <w:szCs w:val="24"/>
        </w:rPr>
        <w:t>modeling</w:t>
      </w:r>
      <w:r w:rsidRPr="00B71BBA">
        <w:rPr>
          <w:sz w:val="24"/>
          <w:szCs w:val="24"/>
        </w:rPr>
        <w:t xml:space="preserve"> self-regulatory strategies, a gradual release of responsibility toward learners as they grow in readiness. Such an orientation comes in particularly handy in K-12 experiences when students have little prior SDL experience, and they need to be expressly prepared before any autonomous work can be assigned to them. Forming structured collaborative activities, including peer review cycles and problem-based learning, that emulate the social accountability that the review recognizes as key in SDL success, is supported by the peer interaction factor. These applications, when combined, provide teachers with concrete and evidence-based initial points around which to redesign their instructional practice based on SDL principles without having to abandon structure or guidance</w:t>
      </w:r>
      <w:r w:rsidR="00000000">
        <w:rPr>
          <w:sz w:val="24"/>
          <w:szCs w:val="24"/>
        </w:rPr>
        <w:t>.</w:t>
      </w:r>
    </w:p>
    <w:p w:rsidR="00C43A5C" w:rsidP="00B71BBA" w14:paraId="59EF145C" w14:textId="0EDA555F">
      <w:pPr>
        <w:spacing w:line="480" w:lineRule="auto"/>
        <w:jc w:val="center"/>
      </w:pPr>
      <w:r>
        <w:rPr>
          <w:b/>
          <w:bCs/>
          <w:sz w:val="24"/>
          <w:szCs w:val="24"/>
        </w:rPr>
        <w:t>Implications for Teaching</w:t>
      </w:r>
    </w:p>
    <w:p w:rsidR="00C43A5C" w:rsidP="00B71BBA" w14:paraId="635875B0" w14:textId="1824535A">
      <w:pPr>
        <w:spacing w:line="480" w:lineRule="auto"/>
        <w:ind w:firstLine="720"/>
        <w:sectPr>
          <w:headerReference w:type="default" r:id="rId5"/>
          <w:pgSz w:w="12240" w:h="15840"/>
          <w:pgMar w:top="1440" w:right="1440" w:bottom="1440" w:left="1440" w:header="708" w:footer="708" w:gutter="0"/>
          <w:cols w:space="720"/>
          <w:docGrid w:linePitch="360"/>
        </w:sectPr>
      </w:pPr>
      <w:r w:rsidRPr="00B71BBA">
        <w:rPr>
          <w:sz w:val="24"/>
          <w:szCs w:val="24"/>
        </w:rPr>
        <w:t xml:space="preserve">The most evident implication of Finn et al. (2024) will be that teachers will no longer be able to assume that they are SDL-ready and instead start to develop that specific quality deliberately. This is to consider self-regulatory competencies such as goal-setting, time management, self-monitoring, and reflective evaluation, as explicit curricular priorities, rather than as alleged byproducts of independent work. Professional development ought to equip teachers to be able to construct feedback and assessment structures, helping teachers to raise metacognitive awareness and not merely to command student </w:t>
      </w:r>
      <w:r w:rsidRPr="00B71BBA">
        <w:rPr>
          <w:sz w:val="24"/>
          <w:szCs w:val="24"/>
        </w:rPr>
        <w:t>behavior</w:t>
      </w:r>
      <w:r w:rsidRPr="00B71BBA">
        <w:rPr>
          <w:sz w:val="24"/>
          <w:szCs w:val="24"/>
        </w:rPr>
        <w:t xml:space="preserve">. The fact that the review has given concern to the learning environment further suggests that both physical and cybernetic spaces should be carefully designed to facilitate independent inquiry as opposed to what was </w:t>
      </w:r>
      <w:r w:rsidRPr="00B71BBA">
        <w:rPr>
          <w:sz w:val="24"/>
          <w:szCs w:val="24"/>
        </w:rPr>
        <w:t xml:space="preserve">regarded as neutral backdrops. Last but not least, teachers need to lobby in their respective institutions to introduce learning experiences that truly reflect the SDL principles and not merely the application of the SDL label to the common teacher-directed instruction. The evidence-based framework presented by Finn et al. (2024) provides teachers not only with the vocabulary but also with the rationale behind that advocacy so that learners can continue to be in self-directed, </w:t>
      </w:r>
      <w:r w:rsidRPr="00B71BBA">
        <w:rPr>
          <w:sz w:val="24"/>
          <w:szCs w:val="24"/>
        </w:rPr>
        <w:t>self-sustaining</w:t>
      </w:r>
      <w:r w:rsidRPr="00B71BBA">
        <w:rPr>
          <w:sz w:val="24"/>
          <w:szCs w:val="24"/>
        </w:rPr>
        <w:t xml:space="preserve"> growth long after the formal education has provided them with the means and resources to continue their development.</w:t>
      </w:r>
    </w:p>
    <w:p w:rsidR="00C43A5C" w:rsidP="00B71BBA" w14:paraId="676716ED" w14:textId="6909E178">
      <w:pPr>
        <w:spacing w:line="480" w:lineRule="auto"/>
        <w:jc w:val="center"/>
      </w:pPr>
      <w:r>
        <w:rPr>
          <w:b/>
          <w:bCs/>
          <w:sz w:val="24"/>
          <w:szCs w:val="24"/>
        </w:rPr>
        <w:t>References</w:t>
      </w:r>
    </w:p>
    <w:p w:rsidR="00C43A5C" w14:paraId="78E763E0" w14:textId="77777777">
      <w:pPr>
        <w:spacing w:line="480" w:lineRule="auto"/>
        <w:ind w:left="720" w:hanging="720"/>
      </w:pPr>
      <w:r>
        <w:rPr>
          <w:sz w:val="24"/>
          <w:szCs w:val="24"/>
        </w:rPr>
        <w:t>Finn, A., Fitzgibbon, C., Fonda, N., &amp; Gosling, C. M. (2024). Self-directed learning and the student learning experience in undergraduate clinical science programs: A scoping review. Advances in Health Sciences Education, 30, 973–1005. https://doi.org/10.1007/s10459-024-10383-7</w:t>
      </w:r>
    </w:p>
    <w:sectPr>
      <w:headerReference w:type="default" r:id="rId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3106643"/>
      <w:docPartObj>
        <w:docPartGallery w:val="Page Numbers (Top of Page)"/>
        <w:docPartUnique/>
      </w:docPartObj>
    </w:sdtPr>
    <w:sdtEndPr>
      <w:rPr>
        <w:noProof/>
        <w:sz w:val="24"/>
        <w:szCs w:val="24"/>
      </w:rPr>
    </w:sdtEndPr>
    <w:sdtContent>
      <w:p w:rsidR="00B71BBA" w:rsidRPr="00B71BBA" w14:paraId="6F2E11F2" w14:textId="763DA75A">
        <w:pPr>
          <w:pStyle w:val="Header"/>
          <w:jc w:val="right"/>
          <w:rPr>
            <w:sz w:val="24"/>
            <w:szCs w:val="24"/>
          </w:rPr>
        </w:pPr>
        <w:r w:rsidRPr="00B71BBA">
          <w:rPr>
            <w:sz w:val="24"/>
            <w:szCs w:val="24"/>
          </w:rPr>
          <w:fldChar w:fldCharType="begin"/>
        </w:r>
        <w:r w:rsidRPr="00B71BBA">
          <w:rPr>
            <w:sz w:val="24"/>
            <w:szCs w:val="24"/>
          </w:rPr>
          <w:instrText xml:space="preserve"> PAGE   \* MERGEFORMAT </w:instrText>
        </w:r>
        <w:r w:rsidRPr="00B71BBA">
          <w:rPr>
            <w:sz w:val="24"/>
            <w:szCs w:val="24"/>
          </w:rPr>
          <w:fldChar w:fldCharType="separate"/>
        </w:r>
        <w:r w:rsidRPr="00B71BBA">
          <w:rPr>
            <w:noProof/>
            <w:sz w:val="24"/>
            <w:szCs w:val="24"/>
          </w:rPr>
          <w:t>2</w:t>
        </w:r>
        <w:r w:rsidRPr="00B71BBA">
          <w:rPr>
            <w:noProof/>
            <w:sz w:val="24"/>
            <w:szCs w:val="24"/>
          </w:rPr>
          <w:fldChar w:fldCharType="end"/>
        </w:r>
      </w:p>
    </w:sdtContent>
  </w:sdt>
  <w:p w:rsidR="00B71BBA" w14:paraId="7FDDB0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A5C" w14:paraId="4E1C7EB5" w14:textId="393DB2C9">
    <w:pPr>
      <w:jc w:val="right"/>
    </w:pPr>
    <w:r>
      <w:rPr>
        <w:sz w:val="24"/>
        <w:szCs w:val="24"/>
      </w:rPr>
      <w:fldChar w:fldCharType="begin"/>
    </w:r>
    <w:r>
      <w:rPr>
        <w:sz w:val="24"/>
        <w:szCs w:val="24"/>
      </w:rPr>
      <w:instrText>PAGE</w:instrText>
    </w:r>
    <w:r>
      <w:rPr>
        <w:sz w:val="24"/>
        <w:szCs w:val="24"/>
      </w:rPr>
      <w:fldChar w:fldCharType="separate"/>
    </w:r>
    <w:r w:rsidR="00B71BBA">
      <w:rPr>
        <w:noProof/>
        <w:sz w:val="24"/>
        <w:szCs w:val="24"/>
      </w:rPr>
      <w:t>2</w:t>
    </w:r>
    <w:r>
      <w:rPr>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A5C" w14:paraId="4609E724" w14:textId="0BB2ACF9">
    <w:pPr>
      <w:jc w:val="right"/>
    </w:pPr>
    <w:r>
      <w:rPr>
        <w:sz w:val="24"/>
        <w:szCs w:val="24"/>
      </w:rPr>
      <w:fldChar w:fldCharType="begin"/>
    </w:r>
    <w:r>
      <w:rPr>
        <w:sz w:val="24"/>
        <w:szCs w:val="24"/>
      </w:rPr>
      <w:instrText>PAGE</w:instrText>
    </w:r>
    <w:r>
      <w:rPr>
        <w:sz w:val="24"/>
        <w:szCs w:val="24"/>
      </w:rPr>
      <w:fldChar w:fldCharType="separate"/>
    </w:r>
    <w:r w:rsidR="00B71BBA">
      <w:rPr>
        <w:noProof/>
        <w:sz w:val="24"/>
        <w:szCs w:val="24"/>
      </w:rPr>
      <w:t>6</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9068C8"/>
    <w:multiLevelType w:val="hybridMultilevel"/>
    <w:tmpl w:val="286AF56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8706072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5C"/>
    <w:rsid w:val="000A08A6"/>
    <w:rsid w:val="00B71BBA"/>
    <w:rsid w:val="00C43A5C"/>
    <w:rsid w:val="00EA78B4"/>
  </w:rsids>
  <m:mathPr>
    <m:mathFont m:val="Cambria Math"/>
  </m:mathPr>
  <w:clrSchemeMapping w:bg1="light1" w:t1="dark1" w:bg2="light2" w:t2="dark2" w:accent1="accent1" w:accent2="accent2" w:accent3="accent3" w:accent4="accent4" w:accent5="accent5" w:accent6="accent6" w:hyperlink="hyperlink" w:followedHyperlink="followedHyperlink"/>
  <w14:docId w14:val="3C6137DD"/>
  <w15:docId w15:val="{E04D35BB-6676-492F-8E02-942994AE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71BBA"/>
    <w:pPr>
      <w:tabs>
        <w:tab w:val="center" w:pos="4513"/>
        <w:tab w:val="right" w:pos="9026"/>
      </w:tabs>
    </w:pPr>
  </w:style>
  <w:style w:type="character" w:customStyle="1" w:styleId="HeaderChar">
    <w:name w:val="Header Char"/>
    <w:basedOn w:val="DefaultParagraphFont"/>
    <w:link w:val="Header"/>
    <w:uiPriority w:val="99"/>
    <w:rsid w:val="00B71BBA"/>
  </w:style>
  <w:style w:type="paragraph" w:styleId="Footer">
    <w:name w:val="footer"/>
    <w:basedOn w:val="Normal"/>
    <w:link w:val="FooterChar"/>
    <w:uiPriority w:val="99"/>
    <w:unhideWhenUsed/>
    <w:rsid w:val="00B71BBA"/>
    <w:pPr>
      <w:tabs>
        <w:tab w:val="center" w:pos="4513"/>
        <w:tab w:val="right" w:pos="9026"/>
      </w:tabs>
    </w:pPr>
  </w:style>
  <w:style w:type="character" w:customStyle="1" w:styleId="FooterChar">
    <w:name w:val="Footer Char"/>
    <w:basedOn w:val="DefaultParagraphFont"/>
    <w:link w:val="Footer"/>
    <w:uiPriority w:val="99"/>
    <w:rsid w:val="00B71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2026-05-04T03:52:00Z</dcterms:created>
  <dcterms:modified xsi:type="dcterms:W3CDTF">2026-05-04T04:00:00Z</dcterms:modified>
</cp:coreProperties>
</file>