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15FC7495" w14:textId="4F12C0F9" w:rsidR="006E2456" w:rsidRPr="00B2705A" w:rsidRDefault="00A90745" w:rsidP="005D6CE1">
      <w:pPr>
        <w:spacing w:line="480" w:lineRule="auto"/>
        <w:jc w:val="center"/>
        <w:rPr>
          <w:rFonts w:ascii="Times New Roman" w:eastAsia="Times New Roman" w:hAnsi="Times New Roman" w:cs="Times New Roman"/>
          <w:b/>
          <w:bCs/>
          <w:sz w:val="24"/>
          <w:szCs w:val="24"/>
          <w:lang w:eastAsia="en-US"/>
        </w:rPr>
      </w:pPr>
      <w:r w:rsidRPr="00B2705A">
        <w:rPr>
          <w:rFonts w:ascii="Times New Roman" w:eastAsia="Times New Roman" w:hAnsi="Times New Roman" w:cs="Times New Roman"/>
          <w:b/>
          <w:bCs/>
          <w:sz w:val="24"/>
          <w:szCs w:val="24"/>
          <w:lang w:eastAsia="en-US"/>
        </w:rPr>
        <w:t>Verdict, Punishment and Judicial Review</w:t>
      </w:r>
    </w:p>
    <w:p w14:paraId="53692B8E" w14:textId="77777777" w:rsidR="00A90745" w:rsidRPr="00B2705A" w:rsidRDefault="00A90745" w:rsidP="005D6CE1">
      <w:pPr>
        <w:spacing w:line="480" w:lineRule="auto"/>
        <w:jc w:val="center"/>
        <w:rPr>
          <w:rFonts w:ascii="Times New Roman" w:hAnsi="Times New Roman" w:cs="Times New Roman"/>
          <w:b/>
          <w:bCs/>
          <w:sz w:val="24"/>
          <w:szCs w:val="24"/>
        </w:rPr>
      </w:pPr>
    </w:p>
    <w:p w14:paraId="4643785F" w14:textId="667E2A2C"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Name of Author</w:t>
      </w:r>
    </w:p>
    <w:p w14:paraId="256DA357" w14:textId="77777777"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Instructor Name</w:t>
      </w:r>
    </w:p>
    <w:p w14:paraId="7A1FF760" w14:textId="2D3FD8A0"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Institution</w:t>
      </w:r>
    </w:p>
    <w:p w14:paraId="3762159C" w14:textId="77777777"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Course Code and Number</w:t>
      </w:r>
    </w:p>
    <w:p w14:paraId="48E3E5B3" w14:textId="44BEEE35" w:rsidR="00D832DD"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 xml:space="preserve">Date </w:t>
      </w:r>
    </w:p>
    <w:p w14:paraId="69EFF0AC" w14:textId="77777777" w:rsidR="00D832DD" w:rsidRPr="00B2705A" w:rsidRDefault="00000000" w:rsidP="005D6CE1">
      <w:pPr>
        <w:spacing w:line="480" w:lineRule="auto"/>
        <w:rPr>
          <w:rFonts w:ascii="Times New Roman" w:hAnsi="Times New Roman" w:cs="Times New Roman"/>
          <w:sz w:val="24"/>
          <w:szCs w:val="24"/>
        </w:rPr>
      </w:pPr>
      <w:r w:rsidRPr="00B2705A">
        <w:rPr>
          <w:rFonts w:ascii="Times New Roman" w:hAnsi="Times New Roman" w:cs="Times New Roman"/>
          <w:sz w:val="24"/>
          <w:szCs w:val="24"/>
        </w:rPr>
        <w:br w:type="page"/>
      </w:r>
    </w:p>
    <w:p w14:paraId="20D8DE15" w14:textId="77777777" w:rsidR="00B2705A" w:rsidRDefault="00A90745" w:rsidP="005D6CE1">
      <w:pPr>
        <w:pStyle w:val="Heading3"/>
        <w:spacing w:before="0" w:after="0" w:line="480" w:lineRule="auto"/>
        <w:jc w:val="center"/>
        <w:rPr>
          <w:rFonts w:ascii="Times New Roman" w:hAnsi="Times New Roman" w:cs="Times New Roman"/>
          <w:b/>
          <w:bCs/>
          <w:color w:val="auto"/>
          <w:sz w:val="24"/>
          <w:szCs w:val="24"/>
        </w:rPr>
      </w:pPr>
      <w:r w:rsidRPr="00B2705A">
        <w:rPr>
          <w:rFonts w:ascii="Times New Roman" w:hAnsi="Times New Roman" w:cs="Times New Roman"/>
          <w:b/>
          <w:bCs/>
          <w:color w:val="auto"/>
          <w:sz w:val="24"/>
          <w:szCs w:val="24"/>
        </w:rPr>
        <w:lastRenderedPageBreak/>
        <w:t>Verdict, Punishment and Judicial Review</w:t>
      </w:r>
    </w:p>
    <w:p w14:paraId="4C697F54" w14:textId="17011D97" w:rsidR="00B2705A" w:rsidRPr="00B2705A" w:rsidRDefault="00B2705A" w:rsidP="005D6CE1">
      <w:pPr>
        <w:pStyle w:val="Heading3"/>
        <w:spacing w:before="0" w:after="0" w:line="480" w:lineRule="auto"/>
        <w:jc w:val="center"/>
        <w:rPr>
          <w:rFonts w:ascii="Times New Roman" w:hAnsi="Times New Roman" w:cs="Times New Roman"/>
          <w:b/>
          <w:bCs/>
          <w:color w:val="auto"/>
          <w:sz w:val="24"/>
          <w:szCs w:val="24"/>
        </w:rPr>
      </w:pPr>
      <w:r w:rsidRPr="00B2705A">
        <w:rPr>
          <w:rFonts w:ascii="Times New Roman" w:hAnsi="Times New Roman" w:cs="Times New Roman"/>
          <w:b/>
          <w:bCs/>
          <w:color w:val="auto"/>
          <w:sz w:val="24"/>
          <w:szCs w:val="24"/>
        </w:rPr>
        <w:t>Right to Appeal</w:t>
      </w:r>
    </w:p>
    <w:p w14:paraId="41D69DC8" w14:textId="3EF3D9C6" w:rsid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The right to appeal is a right granted to a convicted defendant to seek an appellate review of an undesirable judicial determination through proving that an error occurred that had a direct impact on the result of the case at hand (The Right to Appeal - Module 4 of 5, n.d.). This is an appellate review that is strictly based on the established trial record that includes jury instructions, exhibits used in evidence, and transcript where the judge ruled on objections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&amp; Tate, 2015). </w:t>
      </w:r>
    </w:p>
    <w:p w14:paraId="5FE87531" w14:textId="715E1849"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De Novo Review</w:t>
      </w:r>
    </w:p>
    <w:p w14:paraId="73E4B1BD" w14:textId="2BF65F7E"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De novo review is a rigorous standard where a court of appeal reviews questions of law or mixed questions of law and fact in their entirety with no deference to prior decisions of a court of law below them in the legal hierarchy of a given jurisdiction (The Right to Appeal - Module 4 of 5, n.d.). The procedure, in the corresponding context of a trial de novo, serves as an original trial transferred a notch higher to a court of record, which is a completely new trial and not an ordinary appeal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&amp; Tate, 2015). As a result, the sentence that one receives after a trial de novo can be more severe than the initial one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&amp; Tate, 2015). </w:t>
      </w:r>
    </w:p>
    <w:p w14:paraId="278390CE" w14:textId="050DA63A"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“Clear Error” Review</w:t>
      </w:r>
    </w:p>
    <w:p w14:paraId="7D56ED19" w14:textId="77AEACD9"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The standard of a clear error is only applicable to findings of fact, and gives ample deference to the trial judge or jury, as the trial court is in the best position to assess physical evidence and witness credibility in the first instance (The Right to Appeal - Module 4 of 5, n.d.). Only an appellate court can reverse such findings in case it has a clear and firm conviction that some obvious mistake was made, ultimately making sure that a reasonable trier of fact would also have reasonably found the essential elements of the crime beyond a reasonable doubt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&amp; Tate, 2015; "The Right to Appeal - Module 4 of 5", n.d.). </w:t>
      </w:r>
    </w:p>
    <w:p w14:paraId="0AD2D61D" w14:textId="66D608AA"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Abuse of Discretion Review.</w:t>
      </w:r>
    </w:p>
    <w:p w14:paraId="556CDE17" w14:textId="3C1761D0"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This standard of review examines the reasoning of the judge and discretionary decisions of the judge such as the ruling of the judge on a motion to set aside the judgment or a discretionary verdict of the judge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and Tate, 2015; "The Right to Appeal - Module 4 of 5", n.d.). A trial judge exercising discretion in deciding a case cannot be interfered with by an appellate court unless it can be proven to be manifestly unreasonable, lacks foundation in factual information, or simply violates good legal principles (The Right to Appeal - Module 4 of 5, n.d.). </w:t>
      </w:r>
    </w:p>
    <w:p w14:paraId="4C91041A" w14:textId="0653B501"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Preserving Error for Appeal</w:t>
      </w:r>
    </w:p>
    <w:p w14:paraId="72573AED" w14:textId="49F6C6BD"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 xml:space="preserve">In order to effectively appeal an issue, a </w:t>
      </w:r>
      <w:proofErr w:type="spellStart"/>
      <w:r w:rsidRPr="00B2705A">
        <w:rPr>
          <w:rFonts w:ascii="Times New Roman" w:hAnsi="Times New Roman" w:cs="Times New Roman"/>
          <w:sz w:val="24"/>
          <w:szCs w:val="24"/>
        </w:rPr>
        <w:t>defense</w:t>
      </w:r>
      <w:proofErr w:type="spellEnd"/>
      <w:r w:rsidRPr="00B2705A">
        <w:rPr>
          <w:rFonts w:ascii="Times New Roman" w:hAnsi="Times New Roman" w:cs="Times New Roman"/>
          <w:sz w:val="24"/>
          <w:szCs w:val="24"/>
        </w:rPr>
        <w:t xml:space="preserve"> lawyer needs to create a timely objection on the trial record that clearly identifies the specific legal grounds, thus affording the trial court the opportunity to rectify the error (The Right to Appeal - Module 4 of 5, n.d.). Procedurally, the maintenance of an issue depends largely on stringent procedures including the contemporaneous objection rule, curative admissibility, and submission of proffers of evidence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&amp; Tate, 2015). </w:t>
      </w:r>
    </w:p>
    <w:p w14:paraId="177C7C01" w14:textId="0057F8F7"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Habeas Corpus and Relief Pending Review.</w:t>
      </w:r>
    </w:p>
    <w:p w14:paraId="51E38944" w14:textId="1B33248B" w:rsidR="00732D94" w:rsidRPr="00B2705A" w:rsidRDefault="00B2705A" w:rsidP="005D6CE1">
      <w:pPr>
        <w:spacing w:line="480" w:lineRule="auto"/>
        <w:rPr>
          <w:rFonts w:ascii="Times New Roman" w:hAnsi="Times New Roman" w:cs="Times New Roman"/>
          <w:b/>
          <w:bCs/>
          <w:sz w:val="24"/>
          <w:szCs w:val="24"/>
        </w:rPr>
      </w:pPr>
      <w:r>
        <w:rPr>
          <w:rFonts w:ascii="Times New Roman" w:hAnsi="Times New Roman" w:cs="Times New Roman"/>
          <w:sz w:val="24"/>
          <w:szCs w:val="24"/>
        </w:rPr>
        <w:tab/>
      </w:r>
      <w:r w:rsidRPr="00B2705A">
        <w:rPr>
          <w:rFonts w:ascii="Times New Roman" w:hAnsi="Times New Roman" w:cs="Times New Roman"/>
          <w:sz w:val="24"/>
          <w:szCs w:val="24"/>
        </w:rPr>
        <w:t>A habeas corpus petition is a collateral review of a conviction, rather than the continuation of the criminal process, but it is a civil suit brought to challenge the legality of the restraint with which a person is imprisoned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&amp; Tate, 2015). The extraordinary relief can be pursued only under condition of meeting the stringent procedural requirements, such as a one-year limitation, proving the violations of the Constitution, and ensuring the exhaustion of remedies to prevent the procedural default or abuse of the writ (</w:t>
      </w:r>
      <w:proofErr w:type="spellStart"/>
      <w:r w:rsidRPr="00B2705A">
        <w:rPr>
          <w:rFonts w:ascii="Times New Roman" w:hAnsi="Times New Roman" w:cs="Times New Roman"/>
          <w:sz w:val="24"/>
          <w:szCs w:val="24"/>
        </w:rPr>
        <w:t>Bacigal</w:t>
      </w:r>
      <w:proofErr w:type="spellEnd"/>
      <w:r w:rsidRPr="00B2705A">
        <w:rPr>
          <w:rFonts w:ascii="Times New Roman" w:hAnsi="Times New Roman" w:cs="Times New Roman"/>
          <w:sz w:val="24"/>
          <w:szCs w:val="24"/>
        </w:rPr>
        <w:t xml:space="preserve"> and Tate, 2015). Under very extraordinary conditions, a court can give relief pending a review so that a defendant with a high chance of success may be released on bond as this civil suit is being concluded (The Right to Appeal - Module 4 of 5, n.d.).</w:t>
      </w:r>
      <w:r w:rsidR="00732D94" w:rsidRPr="00B2705A">
        <w:rPr>
          <w:rFonts w:ascii="Times New Roman" w:hAnsi="Times New Roman" w:cs="Times New Roman"/>
          <w:b/>
          <w:bCs/>
          <w:sz w:val="24"/>
          <w:szCs w:val="24"/>
        </w:rPr>
        <w:br w:type="page"/>
      </w:r>
    </w:p>
    <w:p w14:paraId="707DDD80" w14:textId="30A55611" w:rsidR="00067498" w:rsidRPr="00B2705A" w:rsidRDefault="00067498" w:rsidP="005D6CE1">
      <w:pPr>
        <w:pStyle w:val="NormalWeb"/>
        <w:spacing w:line="480" w:lineRule="auto"/>
        <w:jc w:val="center"/>
      </w:pPr>
      <w:r w:rsidRPr="00B2705A">
        <w:rPr>
          <w:b/>
          <w:bCs/>
        </w:rPr>
        <w:t>References</w:t>
      </w:r>
    </w:p>
    <w:p w14:paraId="27A75C81" w14:textId="77777777" w:rsidR="00067498" w:rsidRPr="00B2705A" w:rsidRDefault="00067498" w:rsidP="005D6CE1">
      <w:pPr>
        <w:pStyle w:val="NormalWeb"/>
        <w:spacing w:line="480" w:lineRule="auto"/>
        <w:ind w:left="720" w:hanging="720"/>
      </w:pPr>
      <w:proofErr w:type="spellStart"/>
      <w:r w:rsidRPr="00B2705A">
        <w:t>Bacigal</w:t>
      </w:r>
      <w:proofErr w:type="spellEnd"/>
      <w:r w:rsidRPr="00B2705A">
        <w:t xml:space="preserve">, R. J., &amp; Tate, M. K. (2015). </w:t>
      </w:r>
      <w:r w:rsidRPr="00B2705A">
        <w:rPr>
          <w:i/>
          <w:iCs/>
        </w:rPr>
        <w:t>Criminal law and procedure: An overview</w:t>
      </w:r>
      <w:r w:rsidRPr="00B2705A">
        <w:t xml:space="preserve"> (4th ed.). Cengage Learning.</w:t>
      </w:r>
    </w:p>
    <w:p w14:paraId="5A949502" w14:textId="77777777" w:rsidR="00067498" w:rsidRPr="00B2705A" w:rsidRDefault="00067498" w:rsidP="005D6CE1">
      <w:pPr>
        <w:pStyle w:val="NormalWeb"/>
        <w:spacing w:line="480" w:lineRule="auto"/>
        <w:ind w:left="720" w:hanging="720"/>
      </w:pPr>
      <w:r w:rsidRPr="00B2705A">
        <w:rPr>
          <w:i/>
          <w:iCs/>
        </w:rPr>
        <w:t>The Right to Appeal - Module 4 of 5</w:t>
      </w:r>
      <w:r w:rsidRPr="00B2705A">
        <w:t xml:space="preserve"> [Video]. (n.d.). Provided via Brightspace Course Content.</w:t>
      </w:r>
    </w:p>
    <w:p w14:paraId="4B5C028F" w14:textId="4B1338FE" w:rsidR="00636F2B" w:rsidRPr="00B2705A" w:rsidRDefault="00636F2B" w:rsidP="005D6CE1">
      <w:pPr>
        <w:spacing w:line="480" w:lineRule="auto"/>
        <w:ind w:left="720" w:hanging="720"/>
        <w:rPr>
          <w:rFonts w:ascii="Times New Roman" w:hAnsi="Times New Roman" w:cs="Times New Roman"/>
          <w:sz w:val="24"/>
          <w:szCs w:val="24"/>
        </w:rPr>
      </w:pPr>
    </w:p>
    <w:sectPr w:rsidR="00636F2B" w:rsidRPr="00B2705A">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3EA63" w14:textId="77777777" w:rsidR="0040351E" w:rsidRDefault="0040351E">
      <w:pPr>
        <w:spacing w:line="240" w:lineRule="auto"/>
      </w:pPr>
      <w:r>
        <w:separator/>
      </w:r>
    </w:p>
  </w:endnote>
  <w:endnote w:type="continuationSeparator" w:id="0">
    <w:p w14:paraId="7FF5929A" w14:textId="77777777" w:rsidR="0040351E" w:rsidRDefault="00403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A380DF6-CD34-40D2-B74B-3381F3AF0829}"/>
  </w:font>
  <w:font w:name="Cambria">
    <w:panose1 w:val="02040503050406030204"/>
    <w:charset w:val="00"/>
    <w:family w:val="roman"/>
    <w:pitch w:val="variable"/>
    <w:sig w:usb0="E00006FF" w:usb1="420024FF" w:usb2="02000000" w:usb3="00000000" w:csb0="0000019F" w:csb1="00000000"/>
    <w:embedRegular r:id="rId2" w:fontKey="{3C27C119-3CAA-43CE-9175-916C3445AE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8D142" w14:textId="77777777" w:rsidR="0040351E" w:rsidRDefault="0040351E">
      <w:pPr>
        <w:spacing w:line="240" w:lineRule="auto"/>
      </w:pPr>
      <w:r>
        <w:separator/>
      </w:r>
    </w:p>
  </w:footnote>
  <w:footnote w:type="continuationSeparator" w:id="0">
    <w:p w14:paraId="3C9B039A" w14:textId="77777777" w:rsidR="0040351E" w:rsidRDefault="004035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586DF4"/>
    <w:multiLevelType w:val="hybridMultilevel"/>
    <w:tmpl w:val="1218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2"/>
  </w:num>
  <w:num w:numId="3" w16cid:durableId="684328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602DD"/>
    <w:rsid w:val="000623C9"/>
    <w:rsid w:val="00067498"/>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12D49"/>
    <w:rsid w:val="002257DD"/>
    <w:rsid w:val="00226B02"/>
    <w:rsid w:val="00255E40"/>
    <w:rsid w:val="002722B9"/>
    <w:rsid w:val="002A26CB"/>
    <w:rsid w:val="002C3782"/>
    <w:rsid w:val="002D172A"/>
    <w:rsid w:val="002E2E6C"/>
    <w:rsid w:val="003228C2"/>
    <w:rsid w:val="003363A8"/>
    <w:rsid w:val="003419A2"/>
    <w:rsid w:val="003501F1"/>
    <w:rsid w:val="003526B8"/>
    <w:rsid w:val="003565B3"/>
    <w:rsid w:val="00392FCE"/>
    <w:rsid w:val="003A2B63"/>
    <w:rsid w:val="003B1ECD"/>
    <w:rsid w:val="003C78FE"/>
    <w:rsid w:val="003D59C7"/>
    <w:rsid w:val="003E5015"/>
    <w:rsid w:val="0040351E"/>
    <w:rsid w:val="00436A4C"/>
    <w:rsid w:val="00446D63"/>
    <w:rsid w:val="0046149B"/>
    <w:rsid w:val="00462C7E"/>
    <w:rsid w:val="0046446E"/>
    <w:rsid w:val="004738BB"/>
    <w:rsid w:val="00482390"/>
    <w:rsid w:val="004B383B"/>
    <w:rsid w:val="004C3AB4"/>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B3E1B"/>
    <w:rsid w:val="005D6CE1"/>
    <w:rsid w:val="005E5754"/>
    <w:rsid w:val="005F1592"/>
    <w:rsid w:val="0061004C"/>
    <w:rsid w:val="00636F2B"/>
    <w:rsid w:val="0064032B"/>
    <w:rsid w:val="00642172"/>
    <w:rsid w:val="006553F8"/>
    <w:rsid w:val="00665468"/>
    <w:rsid w:val="006907C7"/>
    <w:rsid w:val="006A40D4"/>
    <w:rsid w:val="006B3C45"/>
    <w:rsid w:val="006B42D5"/>
    <w:rsid w:val="006C5923"/>
    <w:rsid w:val="006D6E3F"/>
    <w:rsid w:val="006E0136"/>
    <w:rsid w:val="006E2406"/>
    <w:rsid w:val="006E2456"/>
    <w:rsid w:val="006F10E8"/>
    <w:rsid w:val="00705271"/>
    <w:rsid w:val="007101BD"/>
    <w:rsid w:val="00730B9F"/>
    <w:rsid w:val="00732D94"/>
    <w:rsid w:val="00742AF7"/>
    <w:rsid w:val="00745426"/>
    <w:rsid w:val="00776717"/>
    <w:rsid w:val="0078379F"/>
    <w:rsid w:val="007C3D28"/>
    <w:rsid w:val="007C6672"/>
    <w:rsid w:val="007D08E4"/>
    <w:rsid w:val="007D2307"/>
    <w:rsid w:val="007D4F35"/>
    <w:rsid w:val="007D78FE"/>
    <w:rsid w:val="007D7EE6"/>
    <w:rsid w:val="007E0D13"/>
    <w:rsid w:val="00801466"/>
    <w:rsid w:val="008249CB"/>
    <w:rsid w:val="008333DF"/>
    <w:rsid w:val="00836C2D"/>
    <w:rsid w:val="0085667F"/>
    <w:rsid w:val="00875314"/>
    <w:rsid w:val="008B7EDE"/>
    <w:rsid w:val="008C64E2"/>
    <w:rsid w:val="008E23F2"/>
    <w:rsid w:val="008F10C7"/>
    <w:rsid w:val="008F5458"/>
    <w:rsid w:val="008F65E7"/>
    <w:rsid w:val="008F6743"/>
    <w:rsid w:val="009038AE"/>
    <w:rsid w:val="0092375F"/>
    <w:rsid w:val="00925ED9"/>
    <w:rsid w:val="009A0562"/>
    <w:rsid w:val="009A3EBF"/>
    <w:rsid w:val="009C2CF0"/>
    <w:rsid w:val="009D4C12"/>
    <w:rsid w:val="009D5A5A"/>
    <w:rsid w:val="009E40B6"/>
    <w:rsid w:val="009E4EDE"/>
    <w:rsid w:val="00A41029"/>
    <w:rsid w:val="00A87F37"/>
    <w:rsid w:val="00A90745"/>
    <w:rsid w:val="00A94489"/>
    <w:rsid w:val="00A95F2E"/>
    <w:rsid w:val="00A974F7"/>
    <w:rsid w:val="00AC3953"/>
    <w:rsid w:val="00AC6428"/>
    <w:rsid w:val="00AD2F9F"/>
    <w:rsid w:val="00AD4D1A"/>
    <w:rsid w:val="00AE6D0D"/>
    <w:rsid w:val="00AF4C3C"/>
    <w:rsid w:val="00B04998"/>
    <w:rsid w:val="00B134F8"/>
    <w:rsid w:val="00B21B1C"/>
    <w:rsid w:val="00B2702E"/>
    <w:rsid w:val="00B2705A"/>
    <w:rsid w:val="00B37053"/>
    <w:rsid w:val="00B50D75"/>
    <w:rsid w:val="00B72739"/>
    <w:rsid w:val="00B77D2C"/>
    <w:rsid w:val="00B82144"/>
    <w:rsid w:val="00B878EB"/>
    <w:rsid w:val="00BA4520"/>
    <w:rsid w:val="00BE2E55"/>
    <w:rsid w:val="00BF7431"/>
    <w:rsid w:val="00C27116"/>
    <w:rsid w:val="00C512F8"/>
    <w:rsid w:val="00C6053C"/>
    <w:rsid w:val="00C93CC6"/>
    <w:rsid w:val="00C942A7"/>
    <w:rsid w:val="00CA6A16"/>
    <w:rsid w:val="00CB27F1"/>
    <w:rsid w:val="00CC0269"/>
    <w:rsid w:val="00CC4140"/>
    <w:rsid w:val="00CF4C32"/>
    <w:rsid w:val="00D00FD8"/>
    <w:rsid w:val="00D1683A"/>
    <w:rsid w:val="00D2276C"/>
    <w:rsid w:val="00D52688"/>
    <w:rsid w:val="00D657AB"/>
    <w:rsid w:val="00D7342D"/>
    <w:rsid w:val="00D832DD"/>
    <w:rsid w:val="00DA7ED3"/>
    <w:rsid w:val="00DD5EB3"/>
    <w:rsid w:val="00DE4E0D"/>
    <w:rsid w:val="00DF02A5"/>
    <w:rsid w:val="00E02E9A"/>
    <w:rsid w:val="00E0486B"/>
    <w:rsid w:val="00E338BF"/>
    <w:rsid w:val="00E6219D"/>
    <w:rsid w:val="00E71259"/>
    <w:rsid w:val="00E7685F"/>
    <w:rsid w:val="00EB5A2D"/>
    <w:rsid w:val="00EB62C4"/>
    <w:rsid w:val="00ED361B"/>
    <w:rsid w:val="00F062B0"/>
    <w:rsid w:val="00F103AF"/>
    <w:rsid w:val="00F23353"/>
    <w:rsid w:val="00F40073"/>
    <w:rsid w:val="00F559B2"/>
    <w:rsid w:val="00F66B1E"/>
    <w:rsid w:val="00F83977"/>
    <w:rsid w:val="00F97F06"/>
    <w:rsid w:val="00FA4EDB"/>
    <w:rsid w:val="00FA6E21"/>
    <w:rsid w:val="00FB2DCF"/>
    <w:rsid w:val="00FB4A59"/>
    <w:rsid w:val="00FC459B"/>
    <w:rsid w:val="00FC6AD4"/>
    <w:rsid w:val="00FD1C83"/>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 w:type="paragraph" w:styleId="ListParagraph">
    <w:name w:val="List Paragraph"/>
    <w:basedOn w:val="Normal"/>
    <w:uiPriority w:val="34"/>
    <w:qFormat/>
    <w:rsid w:val="00B270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7</cp:revision>
  <dcterms:created xsi:type="dcterms:W3CDTF">2026-05-05T20:59:00Z</dcterms:created>
  <dcterms:modified xsi:type="dcterms:W3CDTF">2026-05-05T21:50:00Z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