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F07C" w14:textId="77777777" w:rsidR="00303507" w:rsidRPr="00824802" w:rsidRDefault="00303507" w:rsidP="008202D5">
      <w:pPr>
        <w:spacing w:after="0" w:line="480" w:lineRule="auto"/>
        <w:contextualSpacing/>
        <w:jc w:val="center"/>
        <w:rPr>
          <w:rFonts w:cs="Times New Roman"/>
          <w:b/>
          <w:szCs w:val="24"/>
        </w:rPr>
      </w:pPr>
    </w:p>
    <w:p w14:paraId="47797872" w14:textId="77777777" w:rsidR="00303507" w:rsidRPr="00824802" w:rsidRDefault="00303507" w:rsidP="008202D5">
      <w:pPr>
        <w:spacing w:after="0" w:line="480" w:lineRule="auto"/>
        <w:contextualSpacing/>
        <w:jc w:val="center"/>
        <w:rPr>
          <w:rFonts w:cs="Times New Roman"/>
          <w:b/>
          <w:szCs w:val="24"/>
        </w:rPr>
      </w:pPr>
    </w:p>
    <w:p w14:paraId="39B8422D" w14:textId="77777777" w:rsidR="00303507" w:rsidRPr="00824802" w:rsidRDefault="00303507" w:rsidP="008202D5">
      <w:pPr>
        <w:spacing w:after="0" w:line="480" w:lineRule="auto"/>
        <w:contextualSpacing/>
        <w:jc w:val="center"/>
        <w:rPr>
          <w:rFonts w:cs="Times New Roman"/>
          <w:b/>
          <w:szCs w:val="24"/>
        </w:rPr>
      </w:pPr>
    </w:p>
    <w:p w14:paraId="6F848B80" w14:textId="77777777" w:rsidR="00303507" w:rsidRPr="00824802" w:rsidRDefault="00303507" w:rsidP="008202D5">
      <w:pPr>
        <w:spacing w:after="0" w:line="480" w:lineRule="auto"/>
        <w:contextualSpacing/>
        <w:jc w:val="center"/>
        <w:rPr>
          <w:rFonts w:cs="Times New Roman"/>
          <w:b/>
          <w:szCs w:val="24"/>
        </w:rPr>
      </w:pPr>
    </w:p>
    <w:p w14:paraId="56F5D6D5" w14:textId="77777777" w:rsidR="00303507" w:rsidRPr="00824802" w:rsidRDefault="00303507" w:rsidP="008202D5">
      <w:pPr>
        <w:spacing w:after="0" w:line="480" w:lineRule="auto"/>
        <w:contextualSpacing/>
        <w:jc w:val="center"/>
        <w:rPr>
          <w:rFonts w:cs="Times New Roman"/>
          <w:b/>
          <w:szCs w:val="24"/>
        </w:rPr>
      </w:pPr>
    </w:p>
    <w:p w14:paraId="1134DA86" w14:textId="77777777" w:rsidR="00303507" w:rsidRPr="00824802" w:rsidRDefault="00303507" w:rsidP="008202D5">
      <w:pPr>
        <w:spacing w:after="0" w:line="480" w:lineRule="auto"/>
        <w:contextualSpacing/>
        <w:jc w:val="center"/>
        <w:rPr>
          <w:rFonts w:cs="Times New Roman"/>
          <w:b/>
          <w:szCs w:val="24"/>
        </w:rPr>
      </w:pPr>
    </w:p>
    <w:p w14:paraId="16B72FE4" w14:textId="77777777" w:rsidR="006E2FF9" w:rsidRPr="00824802" w:rsidRDefault="006E2FF9" w:rsidP="008202D5">
      <w:pPr>
        <w:spacing w:after="0" w:line="480" w:lineRule="auto"/>
        <w:contextualSpacing/>
        <w:jc w:val="center"/>
        <w:rPr>
          <w:rFonts w:cs="Times New Roman"/>
          <w:b/>
          <w:szCs w:val="24"/>
        </w:rPr>
      </w:pPr>
    </w:p>
    <w:p w14:paraId="03C926A5" w14:textId="622A9586" w:rsidR="00783A4F" w:rsidRPr="00824802" w:rsidRDefault="00000000" w:rsidP="008202D5">
      <w:pPr>
        <w:spacing w:after="0" w:line="480" w:lineRule="auto"/>
        <w:contextualSpacing/>
        <w:jc w:val="center"/>
        <w:rPr>
          <w:rFonts w:cs="Times New Roman"/>
          <w:b/>
          <w:szCs w:val="24"/>
        </w:rPr>
      </w:pPr>
      <w:r w:rsidRPr="00824802">
        <w:rPr>
          <w:rFonts w:cs="Times New Roman"/>
          <w:b/>
          <w:szCs w:val="24"/>
        </w:rPr>
        <w:t>Foundations of Professional Reflection - Patient/Client Interview</w:t>
      </w:r>
    </w:p>
    <w:p w14:paraId="16129E12" w14:textId="77777777" w:rsidR="006E2FF9" w:rsidRPr="00824802" w:rsidRDefault="006E2FF9" w:rsidP="008202D5">
      <w:pPr>
        <w:spacing w:after="0" w:line="480" w:lineRule="auto"/>
        <w:contextualSpacing/>
        <w:jc w:val="center"/>
        <w:rPr>
          <w:rFonts w:cs="Times New Roman"/>
          <w:szCs w:val="24"/>
        </w:rPr>
      </w:pPr>
    </w:p>
    <w:p w14:paraId="24D6408C" w14:textId="77777777" w:rsidR="00303507" w:rsidRPr="00824802" w:rsidRDefault="00303507" w:rsidP="008202D5">
      <w:pPr>
        <w:spacing w:after="0" w:line="480" w:lineRule="auto"/>
        <w:contextualSpacing/>
        <w:jc w:val="center"/>
        <w:rPr>
          <w:rFonts w:cs="Times New Roman"/>
          <w:szCs w:val="24"/>
        </w:rPr>
      </w:pPr>
      <w:r w:rsidRPr="00824802">
        <w:rPr>
          <w:rFonts w:cs="Times New Roman"/>
          <w:szCs w:val="24"/>
        </w:rPr>
        <w:t>Student name [e.g., Justine Maldon]</w:t>
      </w:r>
    </w:p>
    <w:p w14:paraId="4A770FFB" w14:textId="77777777" w:rsidR="00303507" w:rsidRPr="00824802" w:rsidRDefault="00303507" w:rsidP="008202D5">
      <w:pPr>
        <w:spacing w:after="0" w:line="480" w:lineRule="auto"/>
        <w:contextualSpacing/>
        <w:jc w:val="center"/>
        <w:rPr>
          <w:rFonts w:cs="Times New Roman"/>
          <w:bCs/>
          <w:szCs w:val="24"/>
        </w:rPr>
      </w:pPr>
      <w:r w:rsidRPr="00824802">
        <w:rPr>
          <w:rFonts w:cs="Times New Roman"/>
          <w:bCs/>
          <w:szCs w:val="24"/>
        </w:rPr>
        <w:t>Student number [e.g., 12345678]</w:t>
      </w:r>
    </w:p>
    <w:p w14:paraId="54ACDC59" w14:textId="77777777" w:rsidR="00303507" w:rsidRPr="00824802" w:rsidRDefault="00303507" w:rsidP="008202D5">
      <w:pPr>
        <w:spacing w:after="0" w:line="480" w:lineRule="auto"/>
        <w:contextualSpacing/>
        <w:jc w:val="center"/>
        <w:rPr>
          <w:rFonts w:cs="Times New Roman"/>
          <w:szCs w:val="24"/>
        </w:rPr>
      </w:pPr>
      <w:r w:rsidRPr="00824802">
        <w:rPr>
          <w:rFonts w:cs="Times New Roman"/>
          <w:szCs w:val="24"/>
        </w:rPr>
        <w:t>School of Nursing and Midwifery, Edith Cowan University</w:t>
      </w:r>
    </w:p>
    <w:p w14:paraId="068E217F" w14:textId="77777777" w:rsidR="00303507" w:rsidRPr="00824802" w:rsidRDefault="00303507" w:rsidP="008202D5">
      <w:pPr>
        <w:tabs>
          <w:tab w:val="left" w:pos="2977"/>
        </w:tabs>
        <w:spacing w:after="0" w:line="480" w:lineRule="auto"/>
        <w:contextualSpacing/>
        <w:jc w:val="center"/>
        <w:rPr>
          <w:rFonts w:cs="Times New Roman"/>
          <w:szCs w:val="24"/>
        </w:rPr>
      </w:pPr>
      <w:r w:rsidRPr="00824802">
        <w:rPr>
          <w:rFonts w:cs="Times New Roman"/>
          <w:bCs/>
          <w:szCs w:val="24"/>
        </w:rPr>
        <w:t>Unit code and title</w:t>
      </w:r>
      <w:r w:rsidRPr="00824802">
        <w:rPr>
          <w:rFonts w:cs="Times New Roman"/>
          <w:szCs w:val="24"/>
        </w:rPr>
        <w:t xml:space="preserve"> [e.g., NUM1102 Communication Skills for Nurses and Midwives]</w:t>
      </w:r>
    </w:p>
    <w:p w14:paraId="15A7AC7A" w14:textId="77777777" w:rsidR="00303507" w:rsidRPr="00824802" w:rsidRDefault="00303507" w:rsidP="008202D5">
      <w:pPr>
        <w:tabs>
          <w:tab w:val="left" w:pos="2977"/>
        </w:tabs>
        <w:spacing w:after="0" w:line="480" w:lineRule="auto"/>
        <w:contextualSpacing/>
        <w:jc w:val="center"/>
        <w:rPr>
          <w:rFonts w:cs="Times New Roman"/>
          <w:bCs/>
          <w:color w:val="4F81BD" w:themeColor="accent1"/>
          <w:szCs w:val="24"/>
        </w:rPr>
      </w:pPr>
      <w:r w:rsidRPr="00824802">
        <w:rPr>
          <w:rFonts w:cs="Times New Roman"/>
          <w:bCs/>
          <w:szCs w:val="24"/>
        </w:rPr>
        <w:t>Unit Coordinator [e.g., Chantelle Lynch]</w:t>
      </w:r>
    </w:p>
    <w:p w14:paraId="5C9085A8" w14:textId="77777777" w:rsidR="00303507" w:rsidRPr="00824802" w:rsidRDefault="00303507" w:rsidP="008202D5">
      <w:pPr>
        <w:tabs>
          <w:tab w:val="left" w:pos="2977"/>
        </w:tabs>
        <w:spacing w:after="0" w:line="480" w:lineRule="auto"/>
        <w:contextualSpacing/>
        <w:jc w:val="center"/>
        <w:rPr>
          <w:rFonts w:cs="Times New Roman"/>
          <w:bCs/>
          <w:szCs w:val="24"/>
        </w:rPr>
      </w:pPr>
      <w:r w:rsidRPr="00824802">
        <w:rPr>
          <w:rFonts w:cs="Times New Roman"/>
          <w:bCs/>
          <w:szCs w:val="24"/>
        </w:rPr>
        <w:t>Due date [e.g., May 8, 2025]</w:t>
      </w:r>
    </w:p>
    <w:p w14:paraId="586B5E87" w14:textId="77777777" w:rsidR="00783A4F" w:rsidRPr="00824802" w:rsidRDefault="00000000" w:rsidP="008202D5">
      <w:pPr>
        <w:spacing w:after="0" w:line="480" w:lineRule="auto"/>
        <w:contextualSpacing/>
        <w:rPr>
          <w:rFonts w:cs="Times New Roman"/>
          <w:szCs w:val="24"/>
        </w:rPr>
      </w:pPr>
      <w:r w:rsidRPr="00824802">
        <w:rPr>
          <w:rFonts w:cs="Times New Roman"/>
          <w:szCs w:val="24"/>
        </w:rPr>
        <w:br w:type="page"/>
      </w:r>
    </w:p>
    <w:p w14:paraId="2A164B71" w14:textId="77777777" w:rsidR="00783A4F" w:rsidRPr="00824802" w:rsidRDefault="00000000" w:rsidP="008202D5">
      <w:pPr>
        <w:pStyle w:val="Heading1"/>
        <w:spacing w:before="0" w:line="480" w:lineRule="auto"/>
        <w:contextualSpacing/>
        <w:rPr>
          <w:rFonts w:cs="Times New Roman"/>
          <w:szCs w:val="24"/>
        </w:rPr>
      </w:pPr>
      <w:r w:rsidRPr="00824802">
        <w:rPr>
          <w:rFonts w:cs="Times New Roman"/>
          <w:szCs w:val="24"/>
        </w:rPr>
        <w:lastRenderedPageBreak/>
        <w:t>Professional Reflection on a Patient Interview: Communication and Therapeutic Relationships</w:t>
      </w:r>
    </w:p>
    <w:p w14:paraId="3FD49773" w14:textId="3F05139E" w:rsidR="008202D5" w:rsidRPr="008202D5" w:rsidRDefault="008202D5" w:rsidP="008202D5">
      <w:pPr>
        <w:spacing w:after="0" w:line="480" w:lineRule="auto"/>
        <w:ind w:firstLine="720"/>
        <w:contextualSpacing/>
        <w:rPr>
          <w:rFonts w:cs="Times New Roman"/>
          <w:szCs w:val="24"/>
        </w:rPr>
      </w:pPr>
      <w:r w:rsidRPr="008202D5">
        <w:rPr>
          <w:rFonts w:cs="Times New Roman"/>
          <w:szCs w:val="24"/>
        </w:rPr>
        <w:t>Clinical interviewing is not just a process of data gathering, but a relational and ethical work that determines patient understanding, trust</w:t>
      </w:r>
      <w:r>
        <w:rPr>
          <w:rFonts w:cs="Times New Roman"/>
          <w:szCs w:val="24"/>
        </w:rPr>
        <w:t>,</w:t>
      </w:r>
      <w:r w:rsidRPr="008202D5">
        <w:rPr>
          <w:rFonts w:cs="Times New Roman"/>
          <w:szCs w:val="24"/>
        </w:rPr>
        <w:t xml:space="preserve"> and connection. Patient-centred outcomes in older adults are closely linked to the quality of communication (satisfaction and psychological well-being) (Sharkiya, 2023). In the given orthopaedic ward case, an older patient (Sharon) is interviewed by a research nurse (Rochelle) to recruit her into a study and complete a “wellness check. This essay will critically evaluate questioning, active listening, and verbal/non-verbal behavior of Sharon that encouraged the interaction, and then discuss how the specifics of Sharon that facilitated the interaction could be applied in other situations. It further assesses whether the exchange has demonstrated a professional therapeutic relationship in accordance with the standards of NMBA and suggests two science-based measures to improve the future of interviews with the priority </w:t>
      </w:r>
      <w:r>
        <w:rPr>
          <w:rFonts w:cs="Times New Roman"/>
          <w:szCs w:val="24"/>
        </w:rPr>
        <w:t>of</w:t>
      </w:r>
      <w:r w:rsidRPr="008202D5">
        <w:rPr>
          <w:rFonts w:cs="Times New Roman"/>
          <w:szCs w:val="24"/>
        </w:rPr>
        <w:t xml:space="preserve"> safety, dignity, and informed decision-making.</w:t>
      </w:r>
    </w:p>
    <w:p w14:paraId="59C2E407" w14:textId="731CBC9E" w:rsidR="008202D5" w:rsidRPr="008202D5" w:rsidRDefault="008202D5" w:rsidP="008202D5">
      <w:pPr>
        <w:pStyle w:val="Heading1"/>
        <w:spacing w:before="0" w:line="480" w:lineRule="auto"/>
        <w:contextualSpacing/>
      </w:pPr>
      <w:r w:rsidRPr="008202D5">
        <w:t>Verbal and Non-Verbal Communication</w:t>
      </w:r>
    </w:p>
    <w:p w14:paraId="48BF2F5A" w14:textId="7934A14B" w:rsidR="00A37D01" w:rsidRPr="00824802" w:rsidRDefault="008202D5" w:rsidP="008202D5">
      <w:pPr>
        <w:spacing w:after="0" w:line="480" w:lineRule="auto"/>
        <w:ind w:firstLine="720"/>
        <w:contextualSpacing/>
        <w:rPr>
          <w:rFonts w:cs="Times New Roman"/>
          <w:szCs w:val="24"/>
        </w:rPr>
      </w:pPr>
      <w:r w:rsidRPr="008202D5">
        <w:rPr>
          <w:rFonts w:cs="Times New Roman"/>
          <w:szCs w:val="24"/>
        </w:rPr>
        <w:t>Firstly, the style utilized by Rochelle is mostly checklist-based and is characterized by closed questions (e.g., demographics, allergies, systems review), which can be helpful when they are used after a general introduction (Kwame and Petrucka, 2021).</w:t>
      </w:r>
      <w:r>
        <w:rPr>
          <w:rFonts w:cs="Times New Roman"/>
          <w:szCs w:val="24"/>
        </w:rPr>
        <w:t xml:space="preserve"> </w:t>
      </w:r>
      <w:r w:rsidR="00A37D01" w:rsidRPr="00824802">
        <w:rPr>
          <w:rFonts w:cs="Times New Roman"/>
          <w:szCs w:val="24"/>
        </w:rPr>
        <w:t xml:space="preserve">She suggests an open narrative (tell me about yourself and your life) and, though, soon switches to the fast-and-shooting prompts and explicitly asks Sharon to go as fast as she can, without being patient-centred in setting the pace. In addition, some questions are leading or dismissive (e.g., alcohol, bowel habits), and sensitive issues are approached abruptly (e.g., alcohol). This method eliminates the chance that Sharon will be able to voice her complaints and reduces the possibility that you will be able to discover any meaningful priorities, i.e., mobility purposes and traveling </w:t>
      </w:r>
      <w:r w:rsidR="00A37D01" w:rsidRPr="00824802">
        <w:rPr>
          <w:rFonts w:cs="Times New Roman"/>
          <w:szCs w:val="24"/>
        </w:rPr>
        <w:lastRenderedPageBreak/>
        <w:t>plans that will emerge only incidentally. In general, the questioning pattern is effective in completing the forms, but not in a global evaluation.</w:t>
      </w:r>
    </w:p>
    <w:p w14:paraId="69885F31" w14:textId="4CA491E2" w:rsidR="00A37D01" w:rsidRPr="00824802" w:rsidRDefault="00A37D01" w:rsidP="008202D5">
      <w:pPr>
        <w:spacing w:after="0" w:line="480" w:lineRule="auto"/>
        <w:ind w:firstLine="720"/>
        <w:contextualSpacing/>
        <w:rPr>
          <w:rFonts w:cs="Times New Roman"/>
          <w:szCs w:val="24"/>
        </w:rPr>
      </w:pPr>
      <w:r w:rsidRPr="00824802">
        <w:rPr>
          <w:rFonts w:cs="Times New Roman"/>
          <w:szCs w:val="24"/>
        </w:rPr>
        <w:t>Moreover, active listening is intermittent and</w:t>
      </w:r>
      <w:r w:rsidR="00824802">
        <w:rPr>
          <w:rFonts w:cs="Times New Roman"/>
          <w:szCs w:val="24"/>
        </w:rPr>
        <w:t>,</w:t>
      </w:r>
      <w:r w:rsidRPr="00824802">
        <w:rPr>
          <w:rFonts w:cs="Times New Roman"/>
          <w:szCs w:val="24"/>
        </w:rPr>
        <w:t xml:space="preserve"> in most instances, compromised by poor attending </w:t>
      </w:r>
      <w:r w:rsidR="00824802" w:rsidRPr="00824802">
        <w:rPr>
          <w:rFonts w:cs="Times New Roman"/>
          <w:szCs w:val="24"/>
        </w:rPr>
        <w:t>behaviors</w:t>
      </w:r>
      <w:r w:rsidRPr="00824802">
        <w:rPr>
          <w:rFonts w:cs="Times New Roman"/>
          <w:szCs w:val="24"/>
        </w:rPr>
        <w:t xml:space="preserve">. Verbal </w:t>
      </w:r>
      <w:r w:rsidR="00824802">
        <w:rPr>
          <w:rFonts w:cs="Times New Roman"/>
          <w:szCs w:val="24"/>
        </w:rPr>
        <w:t>encouragers</w:t>
      </w:r>
      <w:r w:rsidRPr="00824802">
        <w:rPr>
          <w:rFonts w:cs="Times New Roman"/>
          <w:szCs w:val="24"/>
        </w:rPr>
        <w:t>, reflective summaries, and respectful tone are verbal encouragers, reflective summaries</w:t>
      </w:r>
      <w:r w:rsidR="00824802">
        <w:rPr>
          <w:rFonts w:cs="Times New Roman"/>
          <w:szCs w:val="24"/>
        </w:rPr>
        <w:t>,</w:t>
      </w:r>
      <w:r w:rsidRPr="00824802">
        <w:rPr>
          <w:rFonts w:cs="Times New Roman"/>
          <w:szCs w:val="24"/>
        </w:rPr>
        <w:t xml:space="preserve"> and respectful tone (Sharkiya, 2023)</w:t>
      </w:r>
      <w:r w:rsidR="00824802">
        <w:rPr>
          <w:rFonts w:cs="Times New Roman"/>
          <w:szCs w:val="24"/>
        </w:rPr>
        <w:t>,</w:t>
      </w:r>
      <w:r w:rsidRPr="00824802">
        <w:rPr>
          <w:rFonts w:cs="Times New Roman"/>
          <w:szCs w:val="24"/>
        </w:rPr>
        <w:t xml:space="preserve"> but are relied upon repeatedly by Rochelle to encourage Sharon and what she is telling you. A salient example is when Rochelle answers the phone call in the middle of the interview and then tells that she has to hurry up because one of her friends is waiting to take his walk. Likewise, when Sharon admits that she is afraid of falling again and injuring her hip, Rochelle is able to provide premature reassurance to Sharon (</w:t>
      </w:r>
      <w:r w:rsidR="00824802">
        <w:rPr>
          <w:rFonts w:cs="Times New Roman"/>
          <w:szCs w:val="24"/>
        </w:rPr>
        <w:t>" You’ll</w:t>
      </w:r>
      <w:r w:rsidRPr="00824802">
        <w:rPr>
          <w:rFonts w:cs="Times New Roman"/>
          <w:szCs w:val="24"/>
        </w:rPr>
        <w:t xml:space="preserve"> be fine...seriously) instead of exploring risk factors or validating anxiety. Such </w:t>
      </w:r>
      <w:r w:rsidR="00824802" w:rsidRPr="00824802">
        <w:rPr>
          <w:rFonts w:cs="Times New Roman"/>
          <w:szCs w:val="24"/>
        </w:rPr>
        <w:t>behaviors</w:t>
      </w:r>
      <w:r w:rsidRPr="00824802">
        <w:rPr>
          <w:rFonts w:cs="Times New Roman"/>
          <w:szCs w:val="24"/>
        </w:rPr>
        <w:t xml:space="preserve"> may undermine trust as the patients perceive interruptions and minimi</w:t>
      </w:r>
      <w:r w:rsidR="00824802">
        <w:rPr>
          <w:rFonts w:cs="Times New Roman"/>
          <w:szCs w:val="24"/>
        </w:rPr>
        <w:t>z</w:t>
      </w:r>
      <w:r w:rsidRPr="00824802">
        <w:rPr>
          <w:rFonts w:cs="Times New Roman"/>
          <w:szCs w:val="24"/>
        </w:rPr>
        <w:t xml:space="preserve">ation as </w:t>
      </w:r>
      <w:r w:rsidR="00824802">
        <w:rPr>
          <w:rFonts w:cs="Times New Roman"/>
          <w:szCs w:val="24"/>
        </w:rPr>
        <w:t>a</w:t>
      </w:r>
      <w:r w:rsidRPr="00824802">
        <w:rPr>
          <w:rFonts w:cs="Times New Roman"/>
          <w:szCs w:val="24"/>
        </w:rPr>
        <w:t xml:space="preserve"> lack of concern (Bahari et al., 2024). As a result, the interview is too task-oriented and not responsive.</w:t>
      </w:r>
    </w:p>
    <w:p w14:paraId="2FB8D04A" w14:textId="78796950" w:rsidR="00A37D01" w:rsidRPr="00824802" w:rsidRDefault="00A37D01" w:rsidP="008202D5">
      <w:pPr>
        <w:spacing w:after="0" w:line="480" w:lineRule="auto"/>
        <w:ind w:firstLine="720"/>
        <w:contextualSpacing/>
        <w:rPr>
          <w:rFonts w:cs="Times New Roman"/>
          <w:szCs w:val="24"/>
        </w:rPr>
      </w:pPr>
      <w:r w:rsidRPr="00824802">
        <w:rPr>
          <w:rFonts w:cs="Times New Roman"/>
          <w:szCs w:val="24"/>
        </w:rPr>
        <w:t xml:space="preserve">Moreover, the personal traits of Sharon demanded adaptive communication, which was only partially attained. Being an older adult (born 1944) and a retired nurse, Sharon might have a strong set of expectations in the realms of professionalism and clinical reasoning, including the necessity of using respectful language and ensuring open communication. The communication needs of older patients may be more specific and cannot be addressed without any special adjustments (Sharkiya, 2023). The Catholic identity of Sharon is also salient: she describes how she sacrifices Pepsi Max during Lent and how she could have used such a moment to build a rapport with Sharon and explore health literacy without being </w:t>
      </w:r>
      <w:r w:rsidR="00824802" w:rsidRPr="00824802">
        <w:rPr>
          <w:rFonts w:cs="Times New Roman"/>
          <w:szCs w:val="24"/>
        </w:rPr>
        <w:t>judgmental</w:t>
      </w:r>
      <w:r w:rsidRPr="00824802">
        <w:rPr>
          <w:rFonts w:cs="Times New Roman"/>
          <w:szCs w:val="24"/>
        </w:rPr>
        <w:t xml:space="preserve">. Instead, Rochelle offers a personal critique of Catholic practice and compares Sharon to her mother, shifting the focus away from Sharon’s values. Lastly, Sharon reveals more recent bereavement and persistent </w:t>
      </w:r>
      <w:r w:rsidRPr="00824802">
        <w:rPr>
          <w:rFonts w:cs="Times New Roman"/>
          <w:szCs w:val="24"/>
        </w:rPr>
        <w:lastRenderedPageBreak/>
        <w:t>sadness, but Rochelle provides general reassurance and introduces a narrative of stages not exactly fitting the experience of Sharon. Considering such distinctions would have aided a more personali</w:t>
      </w:r>
      <w:r w:rsidR="00824802">
        <w:rPr>
          <w:rFonts w:cs="Times New Roman"/>
          <w:szCs w:val="24"/>
        </w:rPr>
        <w:t>z</w:t>
      </w:r>
      <w:r w:rsidRPr="00824802">
        <w:rPr>
          <w:rFonts w:cs="Times New Roman"/>
          <w:szCs w:val="24"/>
        </w:rPr>
        <w:t>ed measure and a relaxed emotional atmosphere.</w:t>
      </w:r>
    </w:p>
    <w:p w14:paraId="601B7987" w14:textId="77777777" w:rsidR="00A37D01" w:rsidRPr="00824802" w:rsidRDefault="00A37D01" w:rsidP="008202D5">
      <w:pPr>
        <w:pStyle w:val="Heading1"/>
        <w:spacing w:before="0" w:line="480" w:lineRule="auto"/>
        <w:contextualSpacing/>
      </w:pPr>
      <w:r w:rsidRPr="00824802">
        <w:t>Professional Therapeutic Relationships</w:t>
      </w:r>
    </w:p>
    <w:p w14:paraId="1912174C" w14:textId="7E58B13D" w:rsidR="00A37D01" w:rsidRPr="00824802" w:rsidRDefault="00A37D01" w:rsidP="008202D5">
      <w:pPr>
        <w:spacing w:after="0" w:line="480" w:lineRule="auto"/>
        <w:ind w:firstLine="720"/>
        <w:contextualSpacing/>
        <w:rPr>
          <w:rFonts w:cs="Times New Roman"/>
          <w:szCs w:val="24"/>
        </w:rPr>
      </w:pPr>
      <w:r w:rsidRPr="00824802">
        <w:rPr>
          <w:rFonts w:cs="Times New Roman"/>
          <w:szCs w:val="24"/>
        </w:rPr>
        <w:t xml:space="preserve">Respect, boundaries, and collaboration are elements of a professional therapeutic relationship that </w:t>
      </w:r>
      <w:r w:rsidR="00824802">
        <w:rPr>
          <w:rFonts w:cs="Times New Roman"/>
          <w:szCs w:val="24"/>
        </w:rPr>
        <w:t>allow</w:t>
      </w:r>
      <w:r w:rsidRPr="00824802">
        <w:rPr>
          <w:rFonts w:cs="Times New Roman"/>
          <w:szCs w:val="24"/>
        </w:rPr>
        <w:t xml:space="preserve"> patients to feel safe and heard, without undermining the professional role of the nurse (Nursing and Midwifery Board of Australia [NMBA], 2016). In this interaction, several </w:t>
      </w:r>
      <w:r w:rsidR="00824802" w:rsidRPr="00824802">
        <w:rPr>
          <w:rFonts w:cs="Times New Roman"/>
          <w:szCs w:val="24"/>
        </w:rPr>
        <w:t>behaviors</w:t>
      </w:r>
      <w:r w:rsidRPr="00824802">
        <w:rPr>
          <w:rFonts w:cs="Times New Roman"/>
          <w:szCs w:val="24"/>
        </w:rPr>
        <w:t xml:space="preserve"> compromise those qualities. Rochelle labels Sharon’s widowhood as “cool” and “good,” uses informal or inappropriate language (including profanity when discussing bowel motions), and makes a joking reference to dying when Sharon struggles with technology. Also, the nurse-centered version of self-disclosure (alcohol use comparisons, personal opinions about religion) shifts the focus off Sharon and creates a risk of blurring boundaries, which is not expected of professional conduct. Although at times Rochelle attempts to conciliate herself (e.g.</w:t>
      </w:r>
      <w:r w:rsidR="00824802">
        <w:rPr>
          <w:rFonts w:cs="Times New Roman"/>
          <w:szCs w:val="24"/>
        </w:rPr>
        <w:t>,</w:t>
      </w:r>
      <w:r w:rsidRPr="00824802">
        <w:rPr>
          <w:rFonts w:cs="Times New Roman"/>
          <w:szCs w:val="24"/>
        </w:rPr>
        <w:t xml:space="preserve"> commenting positively about grandchildren), these instances are not perpetuated through reflective dialogue that prioriti</w:t>
      </w:r>
      <w:r w:rsidR="00824802">
        <w:rPr>
          <w:rFonts w:cs="Times New Roman"/>
          <w:szCs w:val="24"/>
        </w:rPr>
        <w:t>z</w:t>
      </w:r>
      <w:r w:rsidRPr="00824802">
        <w:rPr>
          <w:rFonts w:cs="Times New Roman"/>
          <w:szCs w:val="24"/>
        </w:rPr>
        <w:t>es the Sharon perspective. The overall effect is a relationship that is as friendly as it is not always therapeutic.</w:t>
      </w:r>
    </w:p>
    <w:p w14:paraId="66147D9F" w14:textId="7763CF26" w:rsidR="00A37D01" w:rsidRPr="00824802" w:rsidRDefault="00A37D01" w:rsidP="008202D5">
      <w:pPr>
        <w:spacing w:after="0" w:line="480" w:lineRule="auto"/>
        <w:ind w:firstLine="720"/>
        <w:contextualSpacing/>
        <w:rPr>
          <w:rFonts w:cs="Times New Roman"/>
          <w:szCs w:val="24"/>
        </w:rPr>
      </w:pPr>
      <w:r w:rsidRPr="00824802">
        <w:rPr>
          <w:rFonts w:cs="Times New Roman"/>
          <w:szCs w:val="24"/>
        </w:rPr>
        <w:t xml:space="preserve">Importantly, undermined professionalism has direct ramifications </w:t>
      </w:r>
      <w:r w:rsidR="00824802">
        <w:rPr>
          <w:rFonts w:cs="Times New Roman"/>
          <w:szCs w:val="24"/>
        </w:rPr>
        <w:t>for</w:t>
      </w:r>
      <w:r w:rsidRPr="00824802">
        <w:rPr>
          <w:rFonts w:cs="Times New Roman"/>
          <w:szCs w:val="24"/>
        </w:rPr>
        <w:t xml:space="preserve"> trust, engagement, and decision making, especially in a </w:t>
      </w:r>
      <w:r w:rsidR="00824802">
        <w:rPr>
          <w:rFonts w:cs="Times New Roman"/>
          <w:szCs w:val="24"/>
        </w:rPr>
        <w:t>research-recruitment-like</w:t>
      </w:r>
      <w:r w:rsidRPr="00824802">
        <w:rPr>
          <w:rFonts w:cs="Times New Roman"/>
          <w:szCs w:val="24"/>
        </w:rPr>
        <w:t xml:space="preserve"> situation where informed consent emerges as the key factor. Trust affects disclosure and acceptance of treatment, and interactions determine trust (Bahari et al., 2024). However, trust is threatened when the nurse appears rushed, distracted, or dismissive. Regarding NMBA Standard 1, the nurse demonstrated fewer reactions that reflected critical reflection on the possibilities of risk and patient cues (NMBA, 2016). Standard 3 is a reminder about the importance of being able to communicate</w:t>
      </w:r>
      <w:r w:rsidR="00824802" w:rsidRPr="00824802">
        <w:rPr>
          <w:rFonts w:cs="Times New Roman"/>
          <w:szCs w:val="24"/>
        </w:rPr>
        <w:t>,</w:t>
      </w:r>
      <w:r w:rsidRPr="00824802">
        <w:rPr>
          <w:rFonts w:cs="Times New Roman"/>
          <w:szCs w:val="24"/>
        </w:rPr>
        <w:t xml:space="preserve"> and Standard 7 is a </w:t>
      </w:r>
      <w:r w:rsidRPr="00824802">
        <w:rPr>
          <w:rFonts w:cs="Times New Roman"/>
          <w:szCs w:val="24"/>
        </w:rPr>
        <w:lastRenderedPageBreak/>
        <w:t>hint about considering whether the communication created understanding and supported choice.  To illustrate, Rochelle deprioritises medication history (not important to me right now) and moves on with being troubled by Sharon because she is losing activities that are valued by her. In terms of safety, the reduction of fall anxiety is also incompatible with the systematic assessment duties required by the current standards of care provision (Australian Commission on Safety and Quality in Health Care, 2017) and with overall assessment requirements within the professional practice (NMBA, 2016). When Sharon doubts the attentiveness of Rochelle, she might not give the information, be pressured into agreeing</w:t>
      </w:r>
      <w:r w:rsidR="00824802" w:rsidRPr="00824802">
        <w:rPr>
          <w:rFonts w:cs="Times New Roman"/>
          <w:szCs w:val="24"/>
        </w:rPr>
        <w:t>,</w:t>
      </w:r>
      <w:r w:rsidRPr="00824802">
        <w:rPr>
          <w:rFonts w:cs="Times New Roman"/>
          <w:szCs w:val="24"/>
        </w:rPr>
        <w:t xml:space="preserve"> or she will not engage in the study discussion. A therapeutic relationship, then</w:t>
      </w:r>
      <w:r w:rsidR="00824802" w:rsidRPr="00824802">
        <w:rPr>
          <w:rFonts w:cs="Times New Roman"/>
          <w:szCs w:val="24"/>
        </w:rPr>
        <w:t>,</w:t>
      </w:r>
      <w:r w:rsidRPr="00824802">
        <w:rPr>
          <w:rFonts w:cs="Times New Roman"/>
          <w:szCs w:val="24"/>
        </w:rPr>
        <w:t xml:space="preserve"> is not merely a matter of a soft skill, but a precondition of ethical interviewing, both with patients and colleagues.</w:t>
      </w:r>
    </w:p>
    <w:p w14:paraId="3B2433C0" w14:textId="7E0B20D7" w:rsidR="00A37D01" w:rsidRPr="00824802" w:rsidRDefault="00A37D01" w:rsidP="008202D5">
      <w:pPr>
        <w:pStyle w:val="Heading1"/>
        <w:spacing w:before="0" w:line="480" w:lineRule="auto"/>
        <w:contextualSpacing/>
      </w:pPr>
      <w:r w:rsidRPr="00824802">
        <w:t>Evidence-Based Communication Strategies</w:t>
      </w:r>
    </w:p>
    <w:p w14:paraId="76E2114E" w14:textId="2647DB34" w:rsidR="00A37D01" w:rsidRPr="00824802" w:rsidRDefault="00A37D01" w:rsidP="008202D5">
      <w:pPr>
        <w:spacing w:after="0" w:line="480" w:lineRule="auto"/>
        <w:ind w:firstLine="720"/>
        <w:contextualSpacing/>
        <w:rPr>
          <w:rFonts w:cs="Times New Roman"/>
          <w:szCs w:val="24"/>
        </w:rPr>
      </w:pPr>
      <w:r w:rsidRPr="00824802">
        <w:rPr>
          <w:rFonts w:cs="Times New Roman"/>
          <w:szCs w:val="24"/>
        </w:rPr>
        <w:t>To enhance plain-language simplicity and the quality of consent, first, Rochelle might consider integrating plain-language chunk and check explanations with the teach-back method. Plain language has been shown to reduce cognitive load and facilitate understanding in situations where information is complicated or has an emotional component (Randell et al., 2025). Teach-back then confirms understanding by asking the patient to rephrase important points in their own words, and a systematic review reveals that it is generally applicable</w:t>
      </w:r>
      <w:r w:rsidR="00824802" w:rsidRPr="00824802">
        <w:rPr>
          <w:rFonts w:cs="Times New Roman"/>
          <w:szCs w:val="24"/>
        </w:rPr>
        <w:t>,</w:t>
      </w:r>
      <w:r w:rsidRPr="00824802">
        <w:rPr>
          <w:rFonts w:cs="Times New Roman"/>
          <w:szCs w:val="24"/>
        </w:rPr>
        <w:t xml:space="preserve"> although it should be consistently, non-stigmatisingly delivered (Shersher et al., 2021). As applied to this interaction, Rochelle may briefly explain to the participant the purpose of the study, what the participation will entail, and what consent is about</w:t>
      </w:r>
      <w:r w:rsidR="00824802" w:rsidRPr="00824802">
        <w:rPr>
          <w:rFonts w:cs="Times New Roman"/>
          <w:szCs w:val="24"/>
        </w:rPr>
        <w:t>,</w:t>
      </w:r>
      <w:r w:rsidRPr="00824802">
        <w:rPr>
          <w:rFonts w:cs="Times New Roman"/>
          <w:szCs w:val="24"/>
        </w:rPr>
        <w:t xml:space="preserve"> whether it is voluntary or not. It was also possible to reword the items that </w:t>
      </w:r>
      <w:r w:rsidR="00824802" w:rsidRPr="00824802">
        <w:rPr>
          <w:rFonts w:cs="Times New Roman"/>
          <w:szCs w:val="24"/>
        </w:rPr>
        <w:t>seemed</w:t>
      </w:r>
      <w:r w:rsidRPr="00824802">
        <w:rPr>
          <w:rFonts w:cs="Times New Roman"/>
          <w:szCs w:val="24"/>
        </w:rPr>
        <w:t xml:space="preserve"> confusing to her (e.g., safe environment) and translate them into the daily language and have Sharon clarify the meaning before moving on. This would probably </w:t>
      </w:r>
      <w:r w:rsidRPr="00824802">
        <w:rPr>
          <w:rFonts w:cs="Times New Roman"/>
          <w:szCs w:val="24"/>
        </w:rPr>
        <w:lastRenderedPageBreak/>
        <w:t>decrease the confusion level, promote autonomy</w:t>
      </w:r>
      <w:r w:rsidR="00824802" w:rsidRPr="00824802">
        <w:rPr>
          <w:rFonts w:cs="Times New Roman"/>
          <w:szCs w:val="24"/>
        </w:rPr>
        <w:t>,</w:t>
      </w:r>
      <w:r w:rsidRPr="00824802">
        <w:rPr>
          <w:rFonts w:cs="Times New Roman"/>
          <w:szCs w:val="24"/>
        </w:rPr>
        <w:t xml:space="preserve"> and make the interview less rushed and more collaborative.</w:t>
      </w:r>
    </w:p>
    <w:p w14:paraId="59BEE541" w14:textId="7F689AF3" w:rsidR="00A37D01" w:rsidRPr="00824802" w:rsidRDefault="00A37D01" w:rsidP="008202D5">
      <w:pPr>
        <w:spacing w:after="0" w:line="480" w:lineRule="auto"/>
        <w:ind w:firstLine="720"/>
        <w:contextualSpacing/>
        <w:rPr>
          <w:rFonts w:cs="Times New Roman"/>
          <w:szCs w:val="24"/>
        </w:rPr>
      </w:pPr>
      <w:r w:rsidRPr="00824802">
        <w:rPr>
          <w:rFonts w:cs="Times New Roman"/>
          <w:szCs w:val="24"/>
        </w:rPr>
        <w:t xml:space="preserve">Second, Rochelle needs to embrace a person-centred active listening model that emphasizes the aspect of empathic reflection and agenda-setting. Obstacles to effective nurse-patient communication comprise intense </w:t>
      </w:r>
      <w:r w:rsidR="003E16C2" w:rsidRPr="00824802">
        <w:rPr>
          <w:rFonts w:cs="Times New Roman"/>
          <w:szCs w:val="24"/>
        </w:rPr>
        <w:t>focus</w:t>
      </w:r>
      <w:r w:rsidRPr="00824802">
        <w:rPr>
          <w:rFonts w:cs="Times New Roman"/>
          <w:szCs w:val="24"/>
        </w:rPr>
        <w:t xml:space="preserve"> on tasks, interruptions, and poor responsiveness to patient signals (Kwame &amp; Petrucka, 2021). Practically, Rochelle might start with a short open invitation (“ What matters most to you during the process of your recovery? “), and proceed with reflective statements that name both emotion and meaning (e.g.,</w:t>
      </w:r>
      <w:r w:rsidR="003E16C2" w:rsidRPr="00824802">
        <w:rPr>
          <w:rFonts w:cs="Times New Roman"/>
          <w:szCs w:val="24"/>
        </w:rPr>
        <w:t xml:space="preserve"> </w:t>
      </w:r>
      <w:r w:rsidRPr="00824802">
        <w:rPr>
          <w:rFonts w:cs="Times New Roman"/>
          <w:szCs w:val="24"/>
        </w:rPr>
        <w:t xml:space="preserve">It sounds frustrating and sad to not be able to walk your dog and grandchildren right now). This is in line with evidence that quality communication facilitates both emotional and cognitive </w:t>
      </w:r>
      <w:r w:rsidR="003E16C2" w:rsidRPr="00824802">
        <w:rPr>
          <w:rFonts w:cs="Times New Roman"/>
          <w:szCs w:val="24"/>
        </w:rPr>
        <w:t>well-being</w:t>
      </w:r>
      <w:r w:rsidRPr="00824802">
        <w:rPr>
          <w:rFonts w:cs="Times New Roman"/>
          <w:szCs w:val="24"/>
        </w:rPr>
        <w:t xml:space="preserve"> in older patients (Sharkiya, 2023) and with evidence that trust is achieved through the quality of nurse-patient interactions (Bahari et al., 2024). She might also set priorities by requesting permission to proceed with sensitive issues and by summarizing the objectives of Sharon (mobility, travel, grief support) at the end of the meeting. Such an approach would result in a safer therapeutic atmosphere and lead to better precision of psychosocial analysis.</w:t>
      </w:r>
    </w:p>
    <w:p w14:paraId="0B6DDBA3" w14:textId="77777777" w:rsidR="00A37D01" w:rsidRPr="00824802" w:rsidRDefault="00A37D01" w:rsidP="008202D5">
      <w:pPr>
        <w:pStyle w:val="Heading1"/>
        <w:spacing w:before="0" w:line="480" w:lineRule="auto"/>
        <w:contextualSpacing/>
      </w:pPr>
      <w:r w:rsidRPr="00824802">
        <w:t>Conclusion</w:t>
      </w:r>
    </w:p>
    <w:p w14:paraId="2F75809B" w14:textId="2BEA1F04" w:rsidR="00783A4F" w:rsidRPr="00824802" w:rsidRDefault="00A37D01" w:rsidP="008202D5">
      <w:pPr>
        <w:spacing w:after="0" w:line="480" w:lineRule="auto"/>
        <w:ind w:firstLine="720"/>
        <w:contextualSpacing/>
        <w:rPr>
          <w:rFonts w:cs="Times New Roman"/>
          <w:szCs w:val="24"/>
        </w:rPr>
      </w:pPr>
      <w:r w:rsidRPr="00824802">
        <w:rPr>
          <w:rFonts w:cs="Times New Roman"/>
          <w:szCs w:val="24"/>
        </w:rPr>
        <w:t xml:space="preserve">In short, the interview demonstrates how poor communication can take place despite a significant number of questions </w:t>
      </w:r>
      <w:r w:rsidR="003E16C2" w:rsidRPr="00824802">
        <w:rPr>
          <w:rFonts w:cs="Times New Roman"/>
          <w:szCs w:val="24"/>
        </w:rPr>
        <w:t xml:space="preserve">being </w:t>
      </w:r>
      <w:r w:rsidRPr="00824802">
        <w:rPr>
          <w:rFonts w:cs="Times New Roman"/>
          <w:szCs w:val="24"/>
        </w:rPr>
        <w:t xml:space="preserve">asked and forms being filled. The questioning used by Rochelle is predominantly closed, rushed, and sometimes leading, hindering patient-centred assessment, and contributing to missed cues. Similarly, interruptions, divided attention, minimising reassurance, and unprofessional language are also poor indicators of active listening that </w:t>
      </w:r>
      <w:r w:rsidR="003E16C2" w:rsidRPr="00824802">
        <w:rPr>
          <w:rFonts w:cs="Times New Roman"/>
          <w:szCs w:val="24"/>
        </w:rPr>
        <w:t>undermine</w:t>
      </w:r>
      <w:r w:rsidRPr="00824802">
        <w:rPr>
          <w:rFonts w:cs="Times New Roman"/>
          <w:szCs w:val="24"/>
        </w:rPr>
        <w:t xml:space="preserve"> the therapeutic relationship and </w:t>
      </w:r>
      <w:r w:rsidR="003E16C2" w:rsidRPr="00824802">
        <w:rPr>
          <w:rFonts w:cs="Times New Roman"/>
          <w:szCs w:val="24"/>
        </w:rPr>
        <w:t>risk</w:t>
      </w:r>
      <w:r w:rsidRPr="00824802">
        <w:rPr>
          <w:rFonts w:cs="Times New Roman"/>
          <w:szCs w:val="24"/>
        </w:rPr>
        <w:t xml:space="preserve"> the loss of trust, engagement, and informed decision-making. Conversely, the more powerful moments of the interaction occur when Sharon </w:t>
      </w:r>
      <w:r w:rsidRPr="00824802">
        <w:rPr>
          <w:rFonts w:cs="Times New Roman"/>
          <w:szCs w:val="24"/>
        </w:rPr>
        <w:lastRenderedPageBreak/>
        <w:t>is provided with time to explain day-to-day lives, values, and losses</w:t>
      </w:r>
      <w:r w:rsidR="003E16C2" w:rsidRPr="00824802">
        <w:rPr>
          <w:rFonts w:cs="Times New Roman"/>
          <w:szCs w:val="24"/>
        </w:rPr>
        <w:t>,</w:t>
      </w:r>
      <w:r w:rsidRPr="00824802">
        <w:rPr>
          <w:rFonts w:cs="Times New Roman"/>
          <w:szCs w:val="24"/>
        </w:rPr>
        <w:t xml:space="preserve"> which indicates that the opportunities to narrate present opportunities to understand the priorities that are clinically relevant. Next time during an interview, I am going to focus on a single skill and find a way to utilize it in the future. To prepare for practice, I will script two teach-back prompts and practise delivering them at a slow pace in a neutral tone and then reflect on patient responses to refine my practice. Finally, successful interviewing involves a stern focus, polite distance</w:t>
      </w:r>
      <w:r w:rsidR="003E16C2" w:rsidRPr="00824802">
        <w:rPr>
          <w:rFonts w:cs="Times New Roman"/>
          <w:szCs w:val="24"/>
        </w:rPr>
        <w:t>,</w:t>
      </w:r>
      <w:r w:rsidRPr="00824802">
        <w:rPr>
          <w:rFonts w:cs="Times New Roman"/>
          <w:szCs w:val="24"/>
        </w:rPr>
        <w:t xml:space="preserve"> and interest in the personality behind a list of questions</w:t>
      </w:r>
      <w:r w:rsidR="00000000" w:rsidRPr="00824802">
        <w:rPr>
          <w:rFonts w:cs="Times New Roman"/>
          <w:szCs w:val="24"/>
        </w:rPr>
        <w:t>.</w:t>
      </w:r>
    </w:p>
    <w:p w14:paraId="19F4692E" w14:textId="77777777" w:rsidR="0058713D" w:rsidRPr="00824802" w:rsidRDefault="0058713D" w:rsidP="008202D5">
      <w:pPr>
        <w:spacing w:after="0" w:line="480" w:lineRule="auto"/>
        <w:contextualSpacing/>
        <w:rPr>
          <w:rFonts w:eastAsiaTheme="majorEastAsia" w:cs="Times New Roman"/>
          <w:b/>
          <w:bCs/>
          <w:szCs w:val="24"/>
        </w:rPr>
      </w:pPr>
      <w:r w:rsidRPr="00824802">
        <w:rPr>
          <w:rFonts w:cs="Times New Roman"/>
          <w:szCs w:val="24"/>
        </w:rPr>
        <w:br w:type="page"/>
      </w:r>
    </w:p>
    <w:p w14:paraId="15039FFC" w14:textId="7E298586" w:rsidR="00783A4F" w:rsidRPr="00824802" w:rsidRDefault="00000000" w:rsidP="008202D5">
      <w:pPr>
        <w:pStyle w:val="Heading1"/>
        <w:spacing w:before="0" w:line="480" w:lineRule="auto"/>
        <w:contextualSpacing/>
        <w:rPr>
          <w:rFonts w:cs="Times New Roman"/>
          <w:szCs w:val="24"/>
        </w:rPr>
      </w:pPr>
      <w:r w:rsidRPr="00824802">
        <w:rPr>
          <w:rFonts w:cs="Times New Roman"/>
          <w:szCs w:val="24"/>
        </w:rPr>
        <w:lastRenderedPageBreak/>
        <w:t>References</w:t>
      </w:r>
    </w:p>
    <w:p w14:paraId="471D365A" w14:textId="77777777" w:rsidR="00783A4F" w:rsidRPr="00824802" w:rsidRDefault="00000000" w:rsidP="008202D5">
      <w:pPr>
        <w:spacing w:after="0" w:line="480" w:lineRule="auto"/>
        <w:ind w:left="720" w:hanging="720"/>
        <w:contextualSpacing/>
        <w:rPr>
          <w:rFonts w:cs="Times New Roman"/>
          <w:szCs w:val="24"/>
        </w:rPr>
      </w:pPr>
      <w:r w:rsidRPr="00824802">
        <w:rPr>
          <w:rFonts w:cs="Times New Roman"/>
          <w:szCs w:val="24"/>
        </w:rPr>
        <w:t>Australian Commission on Safety and Quality in Health Care. (2017). National Safety and Quality Health Service Standards (2nd ed.; updated May 2021). https://www.safetyandquality.gov.au/sites/default/files/2021-05/national_safety_and_quality_health_service_nsqhs_standards_second_edition_-_updated_may_2021.pdf</w:t>
      </w:r>
    </w:p>
    <w:p w14:paraId="46BAF030" w14:textId="77777777" w:rsidR="00783A4F" w:rsidRPr="00824802" w:rsidRDefault="00000000" w:rsidP="008202D5">
      <w:pPr>
        <w:spacing w:after="0" w:line="480" w:lineRule="auto"/>
        <w:ind w:left="720" w:hanging="720"/>
        <w:contextualSpacing/>
        <w:rPr>
          <w:rFonts w:cs="Times New Roman"/>
          <w:szCs w:val="24"/>
        </w:rPr>
      </w:pPr>
      <w:r w:rsidRPr="00824802">
        <w:rPr>
          <w:rFonts w:cs="Times New Roman"/>
          <w:szCs w:val="24"/>
        </w:rPr>
        <w:t>Nursing and Midwifery Board of Australia. (2016). Registered nurse standards for practice. https://www.nursingmidwiferyboard.gov.au/codes-guidelines-statements/professional-standards/registered-nurse-standards-for-practice.aspx</w:t>
      </w:r>
    </w:p>
    <w:p w14:paraId="0C9D44F2" w14:textId="77777777" w:rsidR="00783A4F" w:rsidRPr="00824802" w:rsidRDefault="00000000" w:rsidP="008202D5">
      <w:pPr>
        <w:spacing w:after="0" w:line="480" w:lineRule="auto"/>
        <w:ind w:left="720" w:hanging="720"/>
        <w:contextualSpacing/>
        <w:rPr>
          <w:rFonts w:cs="Times New Roman"/>
          <w:szCs w:val="24"/>
        </w:rPr>
      </w:pPr>
      <w:r w:rsidRPr="00824802">
        <w:rPr>
          <w:rFonts w:cs="Times New Roman"/>
          <w:szCs w:val="24"/>
        </w:rPr>
        <w:t xml:space="preserve">Bahari, Z., Vosoghi, N., Ramazanzadeh, N., Moshfeghi, S., &amp; Aghamohammadi, M. (2024). Patient trust in nurses: Exploring the relationship with care quality and communication skills in emergency departments. </w:t>
      </w:r>
      <w:r w:rsidRPr="00824802">
        <w:rPr>
          <w:rFonts w:cs="Times New Roman"/>
          <w:i/>
          <w:szCs w:val="24"/>
        </w:rPr>
        <w:t>BMC Nursing</w:t>
      </w:r>
      <w:r w:rsidRPr="00824802">
        <w:rPr>
          <w:rFonts w:cs="Times New Roman"/>
          <w:szCs w:val="24"/>
        </w:rPr>
        <w:t xml:space="preserve">, </w:t>
      </w:r>
      <w:r w:rsidRPr="00824802">
        <w:rPr>
          <w:rFonts w:cs="Times New Roman"/>
          <w:i/>
          <w:szCs w:val="24"/>
        </w:rPr>
        <w:t>23</w:t>
      </w:r>
      <w:r w:rsidRPr="00824802">
        <w:rPr>
          <w:rFonts w:cs="Times New Roman"/>
          <w:szCs w:val="24"/>
        </w:rPr>
        <w:t>, 595. https://doi.org/10.1186/s12912-024-02241-z</w:t>
      </w:r>
    </w:p>
    <w:p w14:paraId="086AB3C9" w14:textId="77777777" w:rsidR="00783A4F" w:rsidRPr="00824802" w:rsidRDefault="00000000" w:rsidP="008202D5">
      <w:pPr>
        <w:spacing w:after="0" w:line="480" w:lineRule="auto"/>
        <w:ind w:left="720" w:hanging="720"/>
        <w:contextualSpacing/>
        <w:rPr>
          <w:rFonts w:cs="Times New Roman"/>
          <w:szCs w:val="24"/>
        </w:rPr>
      </w:pPr>
      <w:r w:rsidRPr="00824802">
        <w:rPr>
          <w:rFonts w:cs="Times New Roman"/>
          <w:szCs w:val="24"/>
        </w:rPr>
        <w:t xml:space="preserve">Kwame, A., &amp; Petrucka, P. M. (2021). A literature-based study of patient-centered care and communication in nurse-patient interactions: Barriers, facilitators, and the way forward. </w:t>
      </w:r>
      <w:r w:rsidRPr="00824802">
        <w:rPr>
          <w:rFonts w:cs="Times New Roman"/>
          <w:i/>
          <w:szCs w:val="24"/>
        </w:rPr>
        <w:t>BMC Nursing</w:t>
      </w:r>
      <w:r w:rsidRPr="00824802">
        <w:rPr>
          <w:rFonts w:cs="Times New Roman"/>
          <w:szCs w:val="24"/>
        </w:rPr>
        <w:t xml:space="preserve">, </w:t>
      </w:r>
      <w:r w:rsidRPr="00824802">
        <w:rPr>
          <w:rFonts w:cs="Times New Roman"/>
          <w:i/>
          <w:szCs w:val="24"/>
        </w:rPr>
        <w:t>20</w:t>
      </w:r>
      <w:r w:rsidRPr="00824802">
        <w:rPr>
          <w:rFonts w:cs="Times New Roman"/>
          <w:szCs w:val="24"/>
        </w:rPr>
        <w:t>, 158. https://doi.org/10.1186/s12912-021-00684-2</w:t>
      </w:r>
    </w:p>
    <w:p w14:paraId="007FDE85" w14:textId="77777777" w:rsidR="00783A4F" w:rsidRPr="00824802" w:rsidRDefault="00000000" w:rsidP="008202D5">
      <w:pPr>
        <w:spacing w:after="0" w:line="480" w:lineRule="auto"/>
        <w:ind w:left="720" w:hanging="720"/>
        <w:contextualSpacing/>
        <w:rPr>
          <w:rFonts w:cs="Times New Roman"/>
          <w:szCs w:val="24"/>
        </w:rPr>
      </w:pPr>
      <w:r w:rsidRPr="00824802">
        <w:rPr>
          <w:rFonts w:cs="Times New Roman"/>
          <w:szCs w:val="24"/>
        </w:rPr>
        <w:t xml:space="preserve">Randell, R. L., Wilson, H. P., Ragavan, M. I., Collins, A. B., Vail, J., Ramirez, S., Amodei, J., Mickievicz, E., Krieger, M. S., Macon, E. C., &amp; Hornik, C. P. (2025). Communicating health research with plain language. </w:t>
      </w:r>
      <w:r w:rsidRPr="00824802">
        <w:rPr>
          <w:rFonts w:cs="Times New Roman"/>
          <w:i/>
          <w:szCs w:val="24"/>
        </w:rPr>
        <w:t>INQUIRY: The Journal of Health Care Organization, Provision, and Financing</w:t>
      </w:r>
      <w:r w:rsidRPr="00824802">
        <w:rPr>
          <w:rFonts w:cs="Times New Roman"/>
          <w:szCs w:val="24"/>
        </w:rPr>
        <w:t xml:space="preserve">, </w:t>
      </w:r>
      <w:r w:rsidRPr="00824802">
        <w:rPr>
          <w:rFonts w:cs="Times New Roman"/>
          <w:i/>
          <w:szCs w:val="24"/>
        </w:rPr>
        <w:t>62</w:t>
      </w:r>
      <w:r w:rsidRPr="00824802">
        <w:rPr>
          <w:rFonts w:cs="Times New Roman"/>
          <w:szCs w:val="24"/>
        </w:rPr>
        <w:t>, 00469580251357755. https://doi.org/10.1177/00469580251357755</w:t>
      </w:r>
    </w:p>
    <w:p w14:paraId="44884625" w14:textId="77777777" w:rsidR="00783A4F" w:rsidRPr="00824802" w:rsidRDefault="00000000" w:rsidP="008202D5">
      <w:pPr>
        <w:spacing w:after="0" w:line="480" w:lineRule="auto"/>
        <w:ind w:left="720" w:hanging="720"/>
        <w:contextualSpacing/>
        <w:rPr>
          <w:rFonts w:cs="Times New Roman"/>
          <w:szCs w:val="24"/>
        </w:rPr>
      </w:pPr>
      <w:r w:rsidRPr="00824802">
        <w:rPr>
          <w:rFonts w:cs="Times New Roman"/>
          <w:szCs w:val="24"/>
        </w:rPr>
        <w:lastRenderedPageBreak/>
        <w:t xml:space="preserve">Sharkiya, S. H. (2023). Quality communication can improve patient-centred health outcomes among older patients: A rapid review. </w:t>
      </w:r>
      <w:r w:rsidRPr="00824802">
        <w:rPr>
          <w:rFonts w:cs="Times New Roman"/>
          <w:i/>
          <w:szCs w:val="24"/>
        </w:rPr>
        <w:t>BMC Health Services Research</w:t>
      </w:r>
      <w:r w:rsidRPr="00824802">
        <w:rPr>
          <w:rFonts w:cs="Times New Roman"/>
          <w:szCs w:val="24"/>
        </w:rPr>
        <w:t xml:space="preserve">, </w:t>
      </w:r>
      <w:r w:rsidRPr="00824802">
        <w:rPr>
          <w:rFonts w:cs="Times New Roman"/>
          <w:i/>
          <w:szCs w:val="24"/>
        </w:rPr>
        <w:t>23</w:t>
      </w:r>
      <w:r w:rsidRPr="00824802">
        <w:rPr>
          <w:rFonts w:cs="Times New Roman"/>
          <w:szCs w:val="24"/>
        </w:rPr>
        <w:t>, 886. https://doi.org/10.1186/s12913-023-09869-8</w:t>
      </w:r>
    </w:p>
    <w:p w14:paraId="3AF7CB44" w14:textId="77777777" w:rsidR="00783A4F" w:rsidRPr="00303507" w:rsidRDefault="00000000" w:rsidP="008202D5">
      <w:pPr>
        <w:spacing w:after="0" w:line="480" w:lineRule="auto"/>
        <w:ind w:left="720" w:hanging="720"/>
        <w:contextualSpacing/>
        <w:rPr>
          <w:rFonts w:cs="Times New Roman"/>
          <w:szCs w:val="24"/>
        </w:rPr>
      </w:pPr>
      <w:r w:rsidRPr="00824802">
        <w:rPr>
          <w:rFonts w:cs="Times New Roman"/>
          <w:szCs w:val="24"/>
        </w:rPr>
        <w:t xml:space="preserve">Shersher, V., Haines, T. P., Sturgiss, L., Weller, C., &amp; Williams, C. (2021). Definitions and use of the teach-back method in healthcare consultations with patients: A systematic review and thematic synthesis. </w:t>
      </w:r>
      <w:r w:rsidRPr="00824802">
        <w:rPr>
          <w:rFonts w:cs="Times New Roman"/>
          <w:i/>
          <w:szCs w:val="24"/>
        </w:rPr>
        <w:t>Patient Education and Counseling</w:t>
      </w:r>
      <w:r w:rsidRPr="00824802">
        <w:rPr>
          <w:rFonts w:cs="Times New Roman"/>
          <w:szCs w:val="24"/>
        </w:rPr>
        <w:t xml:space="preserve">, </w:t>
      </w:r>
      <w:r w:rsidRPr="00824802">
        <w:rPr>
          <w:rFonts w:cs="Times New Roman"/>
          <w:i/>
          <w:szCs w:val="24"/>
        </w:rPr>
        <w:t>104</w:t>
      </w:r>
      <w:r w:rsidRPr="00824802">
        <w:rPr>
          <w:rFonts w:cs="Times New Roman"/>
          <w:szCs w:val="24"/>
        </w:rPr>
        <w:t>(1), 118-129. https://doi.org/10.1016/j.pec.2020.07.026</w:t>
      </w:r>
    </w:p>
    <w:sectPr w:rsidR="00783A4F" w:rsidRPr="00303507"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E61C" w14:textId="77777777" w:rsidR="00EE6EFC" w:rsidRDefault="00EE6EFC" w:rsidP="00F55730">
      <w:pPr>
        <w:spacing w:after="0" w:line="240" w:lineRule="auto"/>
      </w:pPr>
      <w:r>
        <w:separator/>
      </w:r>
    </w:p>
  </w:endnote>
  <w:endnote w:type="continuationSeparator" w:id="0">
    <w:p w14:paraId="38BED75A" w14:textId="77777777" w:rsidR="00EE6EFC" w:rsidRDefault="00EE6EFC" w:rsidP="00F5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44FA" w14:textId="77777777" w:rsidR="00EE6EFC" w:rsidRDefault="00EE6EFC" w:rsidP="00F55730">
      <w:pPr>
        <w:spacing w:after="0" w:line="240" w:lineRule="auto"/>
      </w:pPr>
      <w:r>
        <w:separator/>
      </w:r>
    </w:p>
  </w:footnote>
  <w:footnote w:type="continuationSeparator" w:id="0">
    <w:p w14:paraId="4282E38F" w14:textId="77777777" w:rsidR="00EE6EFC" w:rsidRDefault="00EE6EFC" w:rsidP="00F5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752035"/>
      <w:docPartObj>
        <w:docPartGallery w:val="Page Numbers (Top of Page)"/>
        <w:docPartUnique/>
      </w:docPartObj>
    </w:sdtPr>
    <w:sdtEndPr>
      <w:rPr>
        <w:rFonts w:cs="Times New Roman"/>
        <w:noProof/>
        <w:szCs w:val="24"/>
      </w:rPr>
    </w:sdtEndPr>
    <w:sdtContent>
      <w:p w14:paraId="69F7FDE1" w14:textId="130F61FA" w:rsidR="00F55730" w:rsidRPr="00F55730" w:rsidRDefault="00F55730">
        <w:pPr>
          <w:pStyle w:val="Header"/>
          <w:jc w:val="right"/>
          <w:rPr>
            <w:rFonts w:cs="Times New Roman"/>
            <w:szCs w:val="24"/>
          </w:rPr>
        </w:pPr>
        <w:r w:rsidRPr="00F55730">
          <w:rPr>
            <w:rFonts w:cs="Times New Roman"/>
            <w:szCs w:val="24"/>
          </w:rPr>
          <w:fldChar w:fldCharType="begin"/>
        </w:r>
        <w:r w:rsidRPr="00F55730">
          <w:rPr>
            <w:rFonts w:cs="Times New Roman"/>
            <w:szCs w:val="24"/>
          </w:rPr>
          <w:instrText xml:space="preserve"> PAGE   \* MERGEFORMAT </w:instrText>
        </w:r>
        <w:r w:rsidRPr="00F55730">
          <w:rPr>
            <w:rFonts w:cs="Times New Roman"/>
            <w:szCs w:val="24"/>
          </w:rPr>
          <w:fldChar w:fldCharType="separate"/>
        </w:r>
        <w:r w:rsidRPr="00F55730">
          <w:rPr>
            <w:rFonts w:cs="Times New Roman"/>
            <w:noProof/>
            <w:szCs w:val="24"/>
          </w:rPr>
          <w:t>2</w:t>
        </w:r>
        <w:r w:rsidRPr="00F55730">
          <w:rPr>
            <w:rFonts w:cs="Times New Roman"/>
            <w:noProof/>
            <w:szCs w:val="24"/>
          </w:rPr>
          <w:fldChar w:fldCharType="end"/>
        </w:r>
      </w:p>
    </w:sdtContent>
  </w:sdt>
  <w:p w14:paraId="5556479B" w14:textId="77777777" w:rsidR="00F55730" w:rsidRDefault="00F55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8980824">
    <w:abstractNumId w:val="8"/>
  </w:num>
  <w:num w:numId="2" w16cid:durableId="1446999118">
    <w:abstractNumId w:val="6"/>
  </w:num>
  <w:num w:numId="3" w16cid:durableId="296421070">
    <w:abstractNumId w:val="5"/>
  </w:num>
  <w:num w:numId="4" w16cid:durableId="253363251">
    <w:abstractNumId w:val="4"/>
  </w:num>
  <w:num w:numId="5" w16cid:durableId="1227571855">
    <w:abstractNumId w:val="7"/>
  </w:num>
  <w:num w:numId="6" w16cid:durableId="2035181513">
    <w:abstractNumId w:val="3"/>
  </w:num>
  <w:num w:numId="7" w16cid:durableId="602422152">
    <w:abstractNumId w:val="2"/>
  </w:num>
  <w:num w:numId="8" w16cid:durableId="240601436">
    <w:abstractNumId w:val="1"/>
  </w:num>
  <w:num w:numId="9" w16cid:durableId="95205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31B1"/>
    <w:rsid w:val="00303507"/>
    <w:rsid w:val="00326F90"/>
    <w:rsid w:val="003E16C2"/>
    <w:rsid w:val="0058713D"/>
    <w:rsid w:val="00631298"/>
    <w:rsid w:val="006E2FF9"/>
    <w:rsid w:val="00783A4F"/>
    <w:rsid w:val="008202D5"/>
    <w:rsid w:val="00824802"/>
    <w:rsid w:val="00A37D01"/>
    <w:rsid w:val="00AA1D8D"/>
    <w:rsid w:val="00AB1877"/>
    <w:rsid w:val="00B47730"/>
    <w:rsid w:val="00CB0664"/>
    <w:rsid w:val="00D0464F"/>
    <w:rsid w:val="00EE6EFC"/>
    <w:rsid w:val="00F557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BAF04"/>
  <w14:defaultImageDpi w14:val="300"/>
  <w15:docId w15:val="{C869D1ED-8A78-4791-A19E-6FFF3900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color w:val="000000"/>
      <w:sz w:val="24"/>
    </w:rPr>
  </w:style>
  <w:style w:type="paragraph" w:styleId="Heading1">
    <w:name w:val="heading 1"/>
    <w:basedOn w:val="Normal"/>
    <w:next w:val="Normal"/>
    <w:link w:val="Heading1Char"/>
    <w:uiPriority w:val="9"/>
    <w:qFormat/>
    <w:rsid w:val="006E2FF9"/>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E2FF9"/>
    <w:rPr>
      <w:rFonts w:ascii="Times New Roman" w:eastAsiaTheme="majorEastAsia" w:hAnsi="Times New Roman" w:cstheme="majorBidi"/>
      <w:b/>
      <w:bCs/>
      <w:color w:val="000000"/>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abc</cp:lastModifiedBy>
  <cp:revision>3</cp:revision>
  <dcterms:created xsi:type="dcterms:W3CDTF">2013-12-23T23:15:00Z</dcterms:created>
  <dcterms:modified xsi:type="dcterms:W3CDTF">2026-05-02T22:42:00Z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e36e4f40-a225-439f-a95a-b4944a55558e</vt:lpwstr>
  </property>
</Properties>
</file>