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479" w:rsidRDefault="00EF6479" w:rsidP="005B4F12">
      <w:pPr>
        <w:pStyle w:val="NormalWeb"/>
        <w:spacing w:before="0" w:beforeAutospacing="0" w:after="0" w:afterAutospacing="0" w:line="480" w:lineRule="auto"/>
      </w:pPr>
      <w:r>
        <w:t>Name of the Student</w:t>
      </w:r>
    </w:p>
    <w:p w:rsidR="00EF6479" w:rsidRDefault="00EF6479" w:rsidP="005B4F12">
      <w:pPr>
        <w:pStyle w:val="NormalWeb"/>
        <w:spacing w:before="0" w:beforeAutospacing="0" w:after="0" w:afterAutospacing="0" w:line="480" w:lineRule="auto"/>
      </w:pPr>
      <w:r>
        <w:t>Name of the Instructor</w:t>
      </w:r>
    </w:p>
    <w:p w:rsidR="00EF6479" w:rsidRDefault="00EF6479" w:rsidP="005B4F12">
      <w:pPr>
        <w:pStyle w:val="NormalWeb"/>
        <w:spacing w:before="0" w:beforeAutospacing="0" w:after="0" w:afterAutospacing="0" w:line="480" w:lineRule="auto"/>
      </w:pPr>
      <w:r>
        <w:t>Course Code</w:t>
      </w:r>
    </w:p>
    <w:p w:rsidR="00EF6479" w:rsidRDefault="00EF6479" w:rsidP="005B4F12">
      <w:pPr>
        <w:pStyle w:val="NormalWeb"/>
        <w:spacing w:before="0" w:beforeAutospacing="0" w:after="0" w:afterAutospacing="0" w:line="480" w:lineRule="auto"/>
      </w:pPr>
      <w:r>
        <w:t>Date</w:t>
      </w:r>
    </w:p>
    <w:p w:rsidR="005B4F12" w:rsidRPr="005B4F12" w:rsidRDefault="005B4F12" w:rsidP="005B4F12">
      <w:pPr>
        <w:pStyle w:val="NormalWeb"/>
        <w:spacing w:before="0" w:beforeAutospacing="0" w:after="0" w:afterAutospacing="0" w:line="480" w:lineRule="auto"/>
        <w:jc w:val="center"/>
      </w:pPr>
      <w:r w:rsidRPr="005B4F12">
        <w:t xml:space="preserve">A Night at the </w:t>
      </w:r>
      <w:r w:rsidRPr="005B4F12">
        <w:t>Summit</w:t>
      </w:r>
    </w:p>
    <w:p w:rsidR="004830A9" w:rsidRDefault="004830A9" w:rsidP="005B4F12">
      <w:pPr>
        <w:pStyle w:val="NormalWeb"/>
        <w:spacing w:before="0" w:beforeAutospacing="0" w:after="0" w:afterAutospacing="0" w:line="480" w:lineRule="auto"/>
        <w:ind w:firstLine="720"/>
      </w:pPr>
      <w:r>
        <w:t xml:space="preserve">A Night at the Summit transformed a Manhattan party into a battle with bruises, destruction, and damaged reputations. The number of visitors increased to approximately 900, up from the anticipated 500, but there was no change in the number of security personnel, crowd management, or emergency planning. Crowding caused access and exit issues, a temporary stage safety was lost, and a quarrel turned into a disturbance that caused panic among responders and delays. These facts bind the parties by contract and by obligations of reasonable care. Thus, </w:t>
      </w:r>
      <w:r w:rsidR="005B4F12">
        <w:t xml:space="preserve">all </w:t>
      </w:r>
      <w:r>
        <w:t>stakeholders can make valid claims based on relationship claims, crowd risks, and injuries that can be a</w:t>
      </w:r>
      <w:r w:rsidR="005B4F12">
        <w:t>ttributed to the event failure.</w:t>
      </w:r>
    </w:p>
    <w:p w:rsidR="004830A9" w:rsidRPr="005B4F12" w:rsidRDefault="004830A9" w:rsidP="005B4F12">
      <w:pPr>
        <w:pStyle w:val="NormalWeb"/>
        <w:spacing w:before="0" w:beforeAutospacing="0" w:after="0" w:afterAutospacing="0" w:line="480" w:lineRule="auto"/>
        <w:rPr>
          <w:b/>
        </w:rPr>
      </w:pPr>
      <w:r w:rsidRPr="005B4F12">
        <w:rPr>
          <w:b/>
        </w:rPr>
        <w:t>GSV (Event Organizer)</w:t>
      </w:r>
    </w:p>
    <w:p w:rsidR="004830A9" w:rsidRDefault="004830A9" w:rsidP="005B4F12">
      <w:pPr>
        <w:pStyle w:val="NormalWeb"/>
        <w:spacing w:before="0" w:beforeAutospacing="0" w:after="0" w:afterAutospacing="0" w:line="480" w:lineRule="auto"/>
        <w:ind w:firstLine="720"/>
      </w:pPr>
      <w:r>
        <w:t xml:space="preserve">GSV may take claims for transfer of losses to parties who contracted for its work or services in the event of failure. GSV may bring a breach of contract claim against Summit Shield and Apex Hall, the staging vendor, against other vendors, and against EventLink in negligence based on unsafe installation that also caused instability. According to Edelmann et al., a crowd accident can be defined as an event that occurs in a crowd of at least 100 individuals and involves injury due to crowd motion and compression (4). This proves that crowd pressure injuries are a known type of damage, and thus, an abrupt increase in the number of people to approximately 900 can cause operational collapse and consequent service failures. Thus, there </w:t>
      </w:r>
      <w:r>
        <w:lastRenderedPageBreak/>
        <w:t>are several effective routes to liability in GSV, which are based on its contracts and harms reported.</w:t>
      </w:r>
    </w:p>
    <w:p w:rsidR="004830A9" w:rsidRPr="005B4F12" w:rsidRDefault="004830A9" w:rsidP="005B4F12">
      <w:pPr>
        <w:pStyle w:val="NormalWeb"/>
        <w:spacing w:before="0" w:beforeAutospacing="0" w:after="0" w:afterAutospacing="0" w:line="480" w:lineRule="auto"/>
        <w:rPr>
          <w:b/>
        </w:rPr>
      </w:pPr>
      <w:r w:rsidRPr="005B4F12">
        <w:rPr>
          <w:b/>
        </w:rPr>
        <w:t>Summit Shield Security, Inc. (Security Contractor)</w:t>
      </w:r>
    </w:p>
    <w:p w:rsidR="004830A9" w:rsidRDefault="004830A9" w:rsidP="005B4F12">
      <w:pPr>
        <w:pStyle w:val="NormalWeb"/>
        <w:spacing w:before="0" w:beforeAutospacing="0" w:after="0" w:afterAutospacing="0" w:line="480" w:lineRule="auto"/>
        <w:ind w:firstLine="720"/>
      </w:pPr>
      <w:r>
        <w:t>Summit Shield has a reasonable claim, as the conditions it agreed to were radically altered without being operationally modified. GSV can be sued by Summit Shield for breach of contract, as GSV contracted with the company to provide security and still allowed attendance to increase by almost 150% without increasing the number of staff or crowd control activities. According to Koski et al., the relative risk of missions between 20:00 and 08:00 had a value of 1.39 during mass gathering events, which means that there was increased workload during the late part of the day (4). This implies that lean staffing in a busy evening crowd can quickly become inadequate, which supports the argument that GSV management decisions did not enable efficient performance and led to the failure. Therefore, Summit Shield will be able to present its claim based on the contract relation and the altered circumstances of the events.</w:t>
      </w:r>
    </w:p>
    <w:p w:rsidR="004830A9" w:rsidRPr="005B4F12" w:rsidRDefault="004830A9" w:rsidP="005B4F12">
      <w:pPr>
        <w:pStyle w:val="NormalWeb"/>
        <w:spacing w:before="0" w:beforeAutospacing="0" w:after="0" w:afterAutospacing="0" w:line="480" w:lineRule="auto"/>
        <w:rPr>
          <w:b/>
        </w:rPr>
      </w:pPr>
      <w:r w:rsidRPr="005B4F12">
        <w:rPr>
          <w:b/>
        </w:rPr>
        <w:t>Apex Hall, LLC (Venue Owner)</w:t>
      </w:r>
    </w:p>
    <w:p w:rsidR="004830A9" w:rsidRDefault="004830A9" w:rsidP="005B4F12">
      <w:pPr>
        <w:pStyle w:val="NormalWeb"/>
        <w:spacing w:before="0" w:beforeAutospacing="0" w:after="0" w:afterAutospacing="0" w:line="480" w:lineRule="auto"/>
        <w:ind w:firstLine="720"/>
      </w:pPr>
      <w:r>
        <w:t xml:space="preserve">Apex Hall has an opportunity to recover for physical damage by pursuing the entities whose actions and decisions created unsafe crowd conditions on the premises. Apex Hall can bring a lawsuit against GSV on breach of venue agreement, and may bring an action against the staging vendor, and potentially, Summit Shield, on negligence based on unsafe conditions that contributed to damage to the venue. One of the comments made by Edelmann et al. is that the World Health Organization categorizes the dangers posed by crowd movements, such as injuries and trampling, as a separate risk factor in mass events (2). This demonstrates that the risks of crowd motion are unique and predictable, and thus the presence of bottlenecks and overcrowding in a premise can be used to substantiate a statement that reasonable care and reasonable event </w:t>
      </w:r>
      <w:r>
        <w:lastRenderedPageBreak/>
        <w:t>management were not exercised. Therefore, the damage claims of the Apex Hall can be pursued under contract and tort.</w:t>
      </w:r>
    </w:p>
    <w:p w:rsidR="004830A9" w:rsidRPr="004830A9" w:rsidRDefault="004830A9" w:rsidP="005B4F12">
      <w:pPr>
        <w:pStyle w:val="NormalWeb"/>
        <w:spacing w:before="0" w:beforeAutospacing="0" w:after="0" w:afterAutospacing="0" w:line="480" w:lineRule="auto"/>
        <w:rPr>
          <w:b/>
        </w:rPr>
      </w:pPr>
      <w:r w:rsidRPr="004830A9">
        <w:rPr>
          <w:b/>
        </w:rPr>
        <w:t>Vendors (Catering, Staging, Audiovisual, etc.)</w:t>
      </w:r>
    </w:p>
    <w:p w:rsidR="004830A9" w:rsidRDefault="004830A9" w:rsidP="005B4F12">
      <w:pPr>
        <w:pStyle w:val="NormalWeb"/>
        <w:spacing w:before="0" w:beforeAutospacing="0" w:after="0" w:afterAutospacing="0" w:line="480" w:lineRule="auto"/>
        <w:ind w:firstLine="720"/>
      </w:pPr>
      <w:r>
        <w:t>Vendor claims can be genuine, as they occurred in an environment influenced by contractual guarantees and the predictable dangers posed by crowds. The vendors may sue GSV on breach of contract and may likewise sue the staging vendor in negligence under the circumstances that the fragile stage construction was a contributor to the damages to other equipment. According to Edelmann et al., their analysis was based on the concept of crowd accidents, whose direct cause is the movement of the crowd rather than any other external direct cause (1). It means that when the movement of crowds is the direct cause of damage, the density of the crowd and the stability of the building should be considered key safety topics by organizers and installers. Thus, the vendors have a valid reason to attribute losses to the congested environment and to certain flops on the part of parties involved in staging and event operations.</w:t>
      </w:r>
    </w:p>
    <w:p w:rsidR="004830A9" w:rsidRPr="004830A9" w:rsidRDefault="004830A9" w:rsidP="005B4F12">
      <w:pPr>
        <w:pStyle w:val="NormalWeb"/>
        <w:spacing w:before="0" w:beforeAutospacing="0" w:after="0" w:afterAutospacing="0" w:line="480" w:lineRule="auto"/>
        <w:rPr>
          <w:b/>
        </w:rPr>
      </w:pPr>
      <w:r w:rsidRPr="004830A9">
        <w:rPr>
          <w:b/>
        </w:rPr>
        <w:t>Individual Security Personnel</w:t>
      </w:r>
    </w:p>
    <w:p w:rsidR="004830A9" w:rsidRDefault="004830A9" w:rsidP="005B4F12">
      <w:pPr>
        <w:pStyle w:val="NormalWeb"/>
        <w:spacing w:before="0" w:beforeAutospacing="0" w:after="0" w:afterAutospacing="0" w:line="480" w:lineRule="auto"/>
        <w:ind w:firstLine="720"/>
      </w:pPr>
      <w:r>
        <w:t xml:space="preserve">Claims against individual security personnel can be associated with the unsafe working conditions that were created due to poor staffing in a crowded venue. Security personnel may bring a negligence lawsuit against Summit Shield, their employer, on the basis of negligence, to the extent the facts prove that they were placed in unreasonable peril due to improper placement and insufficient coverage during a disturbance. Koski et al. discovered that missions associated with violence carried the greatest relative risk during events, 1.87 with a 95 percent confidence interval of 1.43 to 2.44 (1). This demonstrates that disruptions and violent acts are an objective threat at major events and therefore overloading a few personnel to handle big crowds may pose </w:t>
      </w:r>
      <w:r>
        <w:lastRenderedPageBreak/>
        <w:t>predictable harm to the staff responsible for controlling. Therefore, the employment relationship and the described conditions support a viable negligence pathway without adding new facts.</w:t>
      </w:r>
    </w:p>
    <w:p w:rsidR="004830A9" w:rsidRPr="004830A9" w:rsidRDefault="004830A9" w:rsidP="005B4F12">
      <w:pPr>
        <w:pStyle w:val="NormalWeb"/>
        <w:spacing w:before="0" w:beforeAutospacing="0" w:after="0" w:afterAutospacing="0" w:line="480" w:lineRule="auto"/>
        <w:rPr>
          <w:b/>
        </w:rPr>
      </w:pPr>
      <w:r w:rsidRPr="004830A9">
        <w:rPr>
          <w:b/>
        </w:rPr>
        <w:t>Attendees</w:t>
      </w:r>
    </w:p>
    <w:p w:rsidR="004830A9" w:rsidRDefault="004830A9" w:rsidP="005B4F12">
      <w:pPr>
        <w:pStyle w:val="NormalWeb"/>
        <w:spacing w:before="0" w:beforeAutospacing="0" w:after="0" w:afterAutospacing="0" w:line="480" w:lineRule="auto"/>
        <w:ind w:firstLine="720"/>
      </w:pPr>
      <w:r>
        <w:t>The injured attendees have the best tort claims since the account directly claims physical injury due to overcrowding and panic. Attendees can sue GSV, Apex Hall, Summit Shield, and the staging vendor for negligence and premises liability based on dangerous crowd conditions and an unstable stage structure. According to Edelmann et al., mass events may strain planning and response resources, which may be linked to the number of participants (2). This shows that a growing event that exceeds expectations will need to modify safety planning, foreseeable crowd pressure and access restrictions can generate injury. Thus, the mentioned injuries, as well as the specified inefficiencies of crowd management, venue organization, and staging safety, render the claims of attendees to be valid against various defendants.</w:t>
      </w:r>
    </w:p>
    <w:p w:rsidR="004830A9" w:rsidRPr="004830A9" w:rsidRDefault="004830A9" w:rsidP="005B4F12">
      <w:pPr>
        <w:pStyle w:val="NormalWeb"/>
        <w:spacing w:before="0" w:beforeAutospacing="0" w:after="0" w:afterAutospacing="0" w:line="480" w:lineRule="auto"/>
        <w:rPr>
          <w:b/>
        </w:rPr>
      </w:pPr>
      <w:r w:rsidRPr="004830A9">
        <w:rPr>
          <w:b/>
        </w:rPr>
        <w:t>Sponsors</w:t>
      </w:r>
    </w:p>
    <w:p w:rsidR="004830A9" w:rsidRDefault="004830A9" w:rsidP="005B4F12">
      <w:pPr>
        <w:pStyle w:val="NormalWeb"/>
        <w:spacing w:before="0" w:beforeAutospacing="0" w:after="0" w:afterAutospacing="0" w:line="480" w:lineRule="auto"/>
        <w:ind w:firstLine="720"/>
      </w:pPr>
      <w:r>
        <w:t>Contract remedies can be pursued by sponsors since they shared money and resources in exchange for a promised high-end experience and exposure. GSV can be sued by sponsors for breach of contract, due to disruptions during the event and negative media coverage that diminished the value of the sponsorship participation expected. According to Kienbacher et al., on music event days, EMS had many more missions to attend, plus 3 per 100,000 population, and public shows, plus 2, than the average rate (3). This implies that event days of high demand may place a strain on the capacity of communities to respond and create an environment where disruptions are more probable unless planning is scaled. Thus, it is reasonable for sponsors to claim that GSV did not deliver the experience they had contracted for, which should have warranted their investment.</w:t>
      </w:r>
    </w:p>
    <w:p w:rsidR="004830A9" w:rsidRPr="004830A9" w:rsidRDefault="004830A9" w:rsidP="005B4F12">
      <w:pPr>
        <w:pStyle w:val="NormalWeb"/>
        <w:spacing w:before="0" w:beforeAutospacing="0" w:after="0" w:afterAutospacing="0" w:line="480" w:lineRule="auto"/>
        <w:rPr>
          <w:b/>
        </w:rPr>
      </w:pPr>
      <w:r w:rsidRPr="004830A9">
        <w:rPr>
          <w:b/>
        </w:rPr>
        <w:lastRenderedPageBreak/>
        <w:t>Speakers and Featured Guests</w:t>
      </w:r>
    </w:p>
    <w:p w:rsidR="004830A9" w:rsidRDefault="004830A9" w:rsidP="005B4F12">
      <w:pPr>
        <w:pStyle w:val="NormalWeb"/>
        <w:spacing w:before="0" w:beforeAutospacing="0" w:after="0" w:afterAutospacing="0" w:line="480" w:lineRule="auto"/>
        <w:ind w:firstLine="720"/>
      </w:pPr>
      <w:r>
        <w:t>The speakers and featured guests will be able to claim contractual and other related claims since the event did not offer the promised platform of participation. Speakers can sue GSV on breach of contract since a booked speaker failed to present the program due to the outbreak and panic caused by the disturbance. Koski et al. note that geospatial analysis showed high mission concentrations within the event area during mass gatherings (4). This means that any disturbance around a venue will be felt elsewhere, leading to a breakdown in operations, and it is not surprising that a poorly managed crowd may deny scheduled programming a chance to take place. Hence, the failure of a speaker to deliver supports a plausible argument that the organizer is responsible for providing a workable event environment.</w:t>
      </w:r>
    </w:p>
    <w:p w:rsidR="004830A9" w:rsidRPr="004830A9" w:rsidRDefault="004830A9" w:rsidP="005B4F12">
      <w:pPr>
        <w:pStyle w:val="NormalWeb"/>
        <w:spacing w:before="0" w:beforeAutospacing="0" w:after="0" w:afterAutospacing="0" w:line="480" w:lineRule="auto"/>
        <w:rPr>
          <w:b/>
        </w:rPr>
      </w:pPr>
      <w:r w:rsidRPr="004830A9">
        <w:rPr>
          <w:b/>
        </w:rPr>
        <w:t>EventLink (Ticketing and Registration Platform)</w:t>
      </w:r>
    </w:p>
    <w:p w:rsidR="004830A9" w:rsidRDefault="004830A9" w:rsidP="005B4F12">
      <w:pPr>
        <w:pStyle w:val="NormalWeb"/>
        <w:spacing w:before="0" w:beforeAutospacing="0" w:after="0" w:afterAutospacing="0" w:line="480" w:lineRule="auto"/>
        <w:ind w:firstLine="720"/>
      </w:pPr>
      <w:r>
        <w:t xml:space="preserve">EventLink has a viable contract dispute since it was contracted to do the ticketing and registration when demand exceeded the intended magnitude. EventLink could sue GSV because of breach of contract, upon account of the fact that the performance of GSV of the event contract and the alteration in the volume of the event have caused uncompensated burdens or failure in relation to the registration obligations. Kienbacher et al. explain that the number of calls might result in a smaller number of available ambulances at the appropriate location at the appropriate time, and they also mention that a physical barrier like a roadblock may compel a detour and a diversion (2). This demonstrates that large events place system-wide coordination strains; thus, changes in ticket volume can significantly affect operational tasks and conflicts over service expectations. </w:t>
      </w:r>
    </w:p>
    <w:p w:rsidR="004830A9" w:rsidRPr="004830A9" w:rsidRDefault="004830A9" w:rsidP="005B4F12">
      <w:pPr>
        <w:pStyle w:val="NormalWeb"/>
        <w:spacing w:before="0" w:beforeAutospacing="0" w:after="0" w:afterAutospacing="0" w:line="480" w:lineRule="auto"/>
        <w:rPr>
          <w:b/>
        </w:rPr>
      </w:pPr>
      <w:r w:rsidRPr="004830A9">
        <w:rPr>
          <w:b/>
        </w:rPr>
        <w:t>Emergency Responders</w:t>
      </w:r>
    </w:p>
    <w:p w:rsidR="004830A9" w:rsidRDefault="004830A9" w:rsidP="005B4F12">
      <w:pPr>
        <w:pStyle w:val="NormalWeb"/>
        <w:spacing w:before="0" w:beforeAutospacing="0" w:after="0" w:afterAutospacing="0" w:line="480" w:lineRule="auto"/>
        <w:ind w:firstLine="720"/>
      </w:pPr>
      <w:r>
        <w:lastRenderedPageBreak/>
        <w:t xml:space="preserve">The emergency responders are visualized in the story as latent participants; any civil action should remain within the confines of the mentioned facts. Emergency responders would only be able to target GSV or Apex Hall in negligence when they prove the existence of a compensable loss, but the story is silent on responder injury, damage to property, or a contract. Koski et al. find out that the workload among EMS and rescue service workers intensifies during mass gathering events and that mission hotspots develop around event locations (1). This implies that delays due to congestion and lack of coordination are consistent with a known operational strain, but without the damages mentioned, a lawsuit is devoid of a clear injury factor. </w:t>
      </w:r>
    </w:p>
    <w:p w:rsidR="004830A9" w:rsidRPr="004830A9" w:rsidRDefault="004830A9" w:rsidP="005B4F12">
      <w:pPr>
        <w:pStyle w:val="NormalWeb"/>
        <w:spacing w:before="0" w:beforeAutospacing="0" w:after="0" w:afterAutospacing="0" w:line="480" w:lineRule="auto"/>
        <w:rPr>
          <w:b/>
        </w:rPr>
      </w:pPr>
      <w:r w:rsidRPr="004830A9">
        <w:rPr>
          <w:b/>
        </w:rPr>
        <w:t>Adjacent Businesses</w:t>
      </w:r>
    </w:p>
    <w:p w:rsidR="004830A9" w:rsidRDefault="004830A9" w:rsidP="005B4F12">
      <w:pPr>
        <w:pStyle w:val="NormalWeb"/>
        <w:spacing w:before="0" w:beforeAutospacing="0" w:after="0" w:afterAutospacing="0" w:line="480" w:lineRule="auto"/>
        <w:ind w:firstLine="720"/>
      </w:pPr>
      <w:r>
        <w:t xml:space="preserve">Other businesses, which are nearby, are named as stakeholders, but their losses are not specified, so claim viability requires a factual connection, which is not given. The neighboring businesses might only sue GSV or Apex Hall on negligence or nuisance on the basis of demonstrating certain interference or damage associated with the overcrowding, disturbance, or delayed accessibility of the vicinity of the venue. According to Kienbacher et al., an event can be dangerous not only to those who are part of it but also to others who are not participants but are within the same catchment area (2). This shows that there is a possibility of spillover effects, although the paper should not cause losses to neighboring businesses. </w:t>
      </w:r>
    </w:p>
    <w:p w:rsidR="004830A9" w:rsidRPr="004830A9" w:rsidRDefault="004830A9" w:rsidP="005B4F12">
      <w:pPr>
        <w:pStyle w:val="NormalWeb"/>
        <w:spacing w:before="0" w:beforeAutospacing="0" w:after="0" w:afterAutospacing="0" w:line="480" w:lineRule="auto"/>
        <w:rPr>
          <w:b/>
        </w:rPr>
      </w:pPr>
      <w:r w:rsidRPr="004830A9">
        <w:rPr>
          <w:b/>
        </w:rPr>
        <w:t>Conclusion</w:t>
      </w:r>
    </w:p>
    <w:p w:rsidR="00FC611B" w:rsidRDefault="004830A9" w:rsidP="005B4F12">
      <w:pPr>
        <w:pStyle w:val="NormalWeb"/>
        <w:spacing w:before="0" w:beforeAutospacing="0" w:after="0" w:afterAutospacing="0" w:line="480" w:lineRule="auto"/>
        <w:ind w:firstLine="720"/>
      </w:pPr>
      <w:r>
        <w:t xml:space="preserve">The legal </w:t>
      </w:r>
      <w:r>
        <w:t>disaster</w:t>
      </w:r>
      <w:r>
        <w:t xml:space="preserve"> stems from foreseeable outcomes of overcrowding and a lack of coordination within and near a privately operated venue. Crowd pressure, bottlenecks, and instability caused injury and property damage to be predictable when the number of people present almost doubled without increased staffing or a change in planning. Those same conditions also disrupted planned programming and sponsor expectations, inviting both contract </w:t>
      </w:r>
      <w:r>
        <w:lastRenderedPageBreak/>
        <w:t>and negligence claims. The best suits will be those involving parties who can claim a definite obligation and a definite loss as a result of a definite relationship, e.g. organizer to attendee or organizer to contractor. Parties that are listed and not characterized as harmed will requ</w:t>
      </w:r>
      <w:r>
        <w:t>ire additional facts to move on</w:t>
      </w:r>
      <w:r w:rsidR="00EF6479">
        <w:t>.</w:t>
      </w:r>
    </w:p>
    <w:p w:rsidR="005B4F12" w:rsidRDefault="005B4F12">
      <w:pPr>
        <w:rPr>
          <w:rFonts w:ascii="Times New Roman" w:eastAsia="Times New Roman" w:hAnsi="Times New Roman" w:cs="Times New Roman"/>
          <w:sz w:val="24"/>
          <w:szCs w:val="24"/>
        </w:rPr>
      </w:pPr>
      <w:r>
        <w:br w:type="page"/>
      </w:r>
    </w:p>
    <w:p w:rsidR="005B4F12" w:rsidRDefault="005B4F12" w:rsidP="005B4F12">
      <w:pPr>
        <w:pStyle w:val="NormalWeb"/>
        <w:spacing w:before="0" w:beforeAutospacing="0" w:after="0" w:afterAutospacing="0" w:line="480" w:lineRule="auto"/>
        <w:jc w:val="center"/>
      </w:pPr>
      <w:r w:rsidRPr="005B4F12">
        <w:lastRenderedPageBreak/>
        <w:t>Works Cited</w:t>
      </w:r>
    </w:p>
    <w:p w:rsidR="005B4F12" w:rsidRPr="005B4F12" w:rsidRDefault="005B4F12" w:rsidP="005B4F12">
      <w:pPr>
        <w:spacing w:after="0" w:line="480" w:lineRule="auto"/>
        <w:ind w:left="720" w:hanging="720"/>
        <w:rPr>
          <w:rFonts w:ascii="Times New Roman" w:eastAsia="Times New Roman" w:hAnsi="Times New Roman" w:cs="Times New Roman"/>
          <w:sz w:val="24"/>
          <w:szCs w:val="24"/>
        </w:rPr>
      </w:pPr>
      <w:r w:rsidRPr="005B4F12">
        <w:rPr>
          <w:rFonts w:ascii="Times New Roman" w:eastAsia="Times New Roman" w:hAnsi="Times New Roman" w:cs="Times New Roman"/>
          <w:sz w:val="24"/>
          <w:szCs w:val="24"/>
        </w:rPr>
        <w:t xml:space="preserve">Edelmann, Dóra, et al. “Tensor-Based Analysis of Eclectic-Reported Crowd Accidents: An Innovative Retrospective Methodology Design Study.” </w:t>
      </w:r>
      <w:r w:rsidRPr="005B4F12">
        <w:rPr>
          <w:rFonts w:ascii="Times New Roman" w:eastAsia="Times New Roman" w:hAnsi="Times New Roman" w:cs="Times New Roman"/>
          <w:i/>
          <w:iCs/>
          <w:sz w:val="24"/>
          <w:szCs w:val="24"/>
        </w:rPr>
        <w:t>Heliyon</w:t>
      </w:r>
      <w:r w:rsidRPr="005B4F12">
        <w:rPr>
          <w:rFonts w:ascii="Times New Roman" w:eastAsia="Times New Roman" w:hAnsi="Times New Roman" w:cs="Times New Roman"/>
          <w:sz w:val="24"/>
          <w:szCs w:val="24"/>
        </w:rPr>
        <w:t xml:space="preserve">, vol. 10, no. 23, Dec. 2024, p. e40330. </w:t>
      </w:r>
      <w:r w:rsidRPr="005B4F12">
        <w:rPr>
          <w:rFonts w:ascii="Times New Roman" w:eastAsia="Times New Roman" w:hAnsi="Times New Roman" w:cs="Times New Roman"/>
          <w:i/>
          <w:iCs/>
          <w:sz w:val="24"/>
          <w:szCs w:val="24"/>
        </w:rPr>
        <w:t>ScienceDirect</w:t>
      </w:r>
      <w:r w:rsidRPr="005B4F12">
        <w:rPr>
          <w:rFonts w:ascii="Times New Roman" w:eastAsia="Times New Roman" w:hAnsi="Times New Roman" w:cs="Times New Roman"/>
          <w:sz w:val="24"/>
          <w:szCs w:val="24"/>
        </w:rPr>
        <w:t xml:space="preserve">, </w:t>
      </w:r>
      <w:hyperlink r:id="rId6" w:history="1">
        <w:r w:rsidRPr="005B4F12">
          <w:rPr>
            <w:rFonts w:ascii="Times New Roman" w:eastAsia="Times New Roman" w:hAnsi="Times New Roman" w:cs="Times New Roman"/>
            <w:color w:val="0000FF"/>
            <w:sz w:val="24"/>
            <w:szCs w:val="24"/>
            <w:u w:val="single"/>
          </w:rPr>
          <w:t>https://doi.org/10.1016/j.heliyon.2024.e40330</w:t>
        </w:r>
      </w:hyperlink>
      <w:r w:rsidRPr="005B4F12">
        <w:rPr>
          <w:rFonts w:ascii="Times New Roman" w:eastAsia="Times New Roman" w:hAnsi="Times New Roman" w:cs="Times New Roman"/>
          <w:sz w:val="24"/>
          <w:szCs w:val="24"/>
        </w:rPr>
        <w:t>.</w:t>
      </w:r>
    </w:p>
    <w:p w:rsidR="005B4F12" w:rsidRPr="005B4F12" w:rsidRDefault="005B4F12" w:rsidP="005B4F12">
      <w:pPr>
        <w:spacing w:after="0" w:line="480" w:lineRule="auto"/>
        <w:ind w:left="720" w:hanging="720"/>
        <w:rPr>
          <w:rFonts w:ascii="Times New Roman" w:eastAsia="Times New Roman" w:hAnsi="Times New Roman" w:cs="Times New Roman"/>
          <w:sz w:val="24"/>
          <w:szCs w:val="24"/>
        </w:rPr>
      </w:pPr>
      <w:r w:rsidRPr="005B4F12">
        <w:rPr>
          <w:rFonts w:ascii="Times New Roman" w:eastAsia="Times New Roman" w:hAnsi="Times New Roman" w:cs="Times New Roman"/>
          <w:sz w:val="24"/>
          <w:szCs w:val="24"/>
        </w:rPr>
        <w:t xml:space="preserve">Kienbacher, Calvin Lukas, et al. “Social Mass Gathering Events Influence Emergency Medical Services Call Volume.” </w:t>
      </w:r>
      <w:r w:rsidRPr="005B4F12">
        <w:rPr>
          <w:rFonts w:ascii="Times New Roman" w:eastAsia="Times New Roman" w:hAnsi="Times New Roman" w:cs="Times New Roman"/>
          <w:i/>
          <w:iCs/>
          <w:sz w:val="24"/>
          <w:szCs w:val="24"/>
        </w:rPr>
        <w:t>Frontiers in Public Health</w:t>
      </w:r>
      <w:r w:rsidRPr="005B4F12">
        <w:rPr>
          <w:rFonts w:ascii="Times New Roman" w:eastAsia="Times New Roman" w:hAnsi="Times New Roman" w:cs="Times New Roman"/>
          <w:sz w:val="24"/>
          <w:szCs w:val="24"/>
        </w:rPr>
        <w:t xml:space="preserve">, vol. 12, May 2024. </w:t>
      </w:r>
      <w:r w:rsidRPr="005B4F12">
        <w:rPr>
          <w:rFonts w:ascii="Times New Roman" w:eastAsia="Times New Roman" w:hAnsi="Times New Roman" w:cs="Times New Roman"/>
          <w:i/>
          <w:iCs/>
          <w:sz w:val="24"/>
          <w:szCs w:val="24"/>
        </w:rPr>
        <w:t>Frontiers</w:t>
      </w:r>
      <w:r w:rsidRPr="005B4F12">
        <w:rPr>
          <w:rFonts w:ascii="Times New Roman" w:eastAsia="Times New Roman" w:hAnsi="Times New Roman" w:cs="Times New Roman"/>
          <w:sz w:val="24"/>
          <w:szCs w:val="24"/>
        </w:rPr>
        <w:t xml:space="preserve">, </w:t>
      </w:r>
      <w:hyperlink r:id="rId7" w:history="1">
        <w:r w:rsidRPr="005B4F12">
          <w:rPr>
            <w:rFonts w:ascii="Times New Roman" w:eastAsia="Times New Roman" w:hAnsi="Times New Roman" w:cs="Times New Roman"/>
            <w:color w:val="0000FF"/>
            <w:sz w:val="24"/>
            <w:szCs w:val="24"/>
            <w:u w:val="single"/>
          </w:rPr>
          <w:t>https://doi.org/10.3389/fpubh.2024.1394384</w:t>
        </w:r>
      </w:hyperlink>
      <w:r w:rsidRPr="005B4F12">
        <w:rPr>
          <w:rFonts w:ascii="Times New Roman" w:eastAsia="Times New Roman" w:hAnsi="Times New Roman" w:cs="Times New Roman"/>
          <w:sz w:val="24"/>
          <w:szCs w:val="24"/>
        </w:rPr>
        <w:t>.</w:t>
      </w:r>
      <w:bookmarkStart w:id="0" w:name="_GoBack"/>
      <w:bookmarkEnd w:id="0"/>
    </w:p>
    <w:p w:rsidR="005B4F12" w:rsidRPr="005B4F12" w:rsidRDefault="005B4F12" w:rsidP="005B4F12">
      <w:pPr>
        <w:spacing w:after="0" w:line="480" w:lineRule="auto"/>
        <w:ind w:left="720" w:hanging="720"/>
        <w:rPr>
          <w:rFonts w:ascii="Times New Roman" w:eastAsia="Times New Roman" w:hAnsi="Times New Roman" w:cs="Times New Roman"/>
          <w:sz w:val="24"/>
          <w:szCs w:val="24"/>
        </w:rPr>
      </w:pPr>
      <w:r w:rsidRPr="005B4F12">
        <w:rPr>
          <w:rFonts w:ascii="Times New Roman" w:eastAsia="Times New Roman" w:hAnsi="Times New Roman" w:cs="Times New Roman"/>
          <w:sz w:val="24"/>
          <w:szCs w:val="24"/>
        </w:rPr>
        <w:t xml:space="preserve">Koski, Anssi, et al. “Preparedness for Mass Gatherings: Rescue and Emergency Medical Services’ Workloads during Mass Gathering Events.” </w:t>
      </w:r>
      <w:r w:rsidRPr="005B4F12">
        <w:rPr>
          <w:rFonts w:ascii="Times New Roman" w:eastAsia="Times New Roman" w:hAnsi="Times New Roman" w:cs="Times New Roman"/>
          <w:i/>
          <w:iCs/>
          <w:sz w:val="24"/>
          <w:szCs w:val="24"/>
        </w:rPr>
        <w:t>Scandinavian Journal of Trauma, Resuscitation and Emergency Medicine</w:t>
      </w:r>
      <w:r w:rsidRPr="005B4F12">
        <w:rPr>
          <w:rFonts w:ascii="Times New Roman" w:eastAsia="Times New Roman" w:hAnsi="Times New Roman" w:cs="Times New Roman"/>
          <w:sz w:val="24"/>
          <w:szCs w:val="24"/>
        </w:rPr>
        <w:t xml:space="preserve">, vol. 30, no. 1, Mar. 2022, p. 15. </w:t>
      </w:r>
      <w:r w:rsidRPr="005B4F12">
        <w:rPr>
          <w:rFonts w:ascii="Times New Roman" w:eastAsia="Times New Roman" w:hAnsi="Times New Roman" w:cs="Times New Roman"/>
          <w:i/>
          <w:iCs/>
          <w:sz w:val="24"/>
          <w:szCs w:val="24"/>
        </w:rPr>
        <w:t>Springer Link</w:t>
      </w:r>
      <w:r w:rsidRPr="005B4F12">
        <w:rPr>
          <w:rFonts w:ascii="Times New Roman" w:eastAsia="Times New Roman" w:hAnsi="Times New Roman" w:cs="Times New Roman"/>
          <w:sz w:val="24"/>
          <w:szCs w:val="24"/>
        </w:rPr>
        <w:t xml:space="preserve">, </w:t>
      </w:r>
      <w:hyperlink r:id="rId8" w:history="1">
        <w:r w:rsidRPr="005B4F12">
          <w:rPr>
            <w:rFonts w:ascii="Times New Roman" w:eastAsia="Times New Roman" w:hAnsi="Times New Roman" w:cs="Times New Roman"/>
            <w:color w:val="0000FF"/>
            <w:sz w:val="24"/>
            <w:szCs w:val="24"/>
            <w:u w:val="single"/>
          </w:rPr>
          <w:t>https://doi.org/10.1186/s13049-022-01003-7</w:t>
        </w:r>
      </w:hyperlink>
      <w:r w:rsidRPr="005B4F12">
        <w:rPr>
          <w:rFonts w:ascii="Times New Roman" w:eastAsia="Times New Roman" w:hAnsi="Times New Roman" w:cs="Times New Roman"/>
          <w:sz w:val="24"/>
          <w:szCs w:val="24"/>
        </w:rPr>
        <w:t>.</w:t>
      </w:r>
    </w:p>
    <w:p w:rsidR="005B4F12" w:rsidRPr="005B4F12" w:rsidRDefault="005B4F12" w:rsidP="005B4F12">
      <w:pPr>
        <w:pStyle w:val="NormalWeb"/>
        <w:spacing w:before="0" w:beforeAutospacing="0" w:after="0" w:afterAutospacing="0" w:line="480" w:lineRule="auto"/>
      </w:pPr>
    </w:p>
    <w:sectPr w:rsidR="005B4F12" w:rsidRPr="005B4F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F1D" w:rsidRDefault="00F54F1D" w:rsidP="005B4F12">
      <w:pPr>
        <w:spacing w:after="0" w:line="240" w:lineRule="auto"/>
      </w:pPr>
      <w:r>
        <w:separator/>
      </w:r>
    </w:p>
  </w:endnote>
  <w:endnote w:type="continuationSeparator" w:id="0">
    <w:p w:rsidR="00F54F1D" w:rsidRDefault="00F54F1D" w:rsidP="005B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F1D" w:rsidRDefault="00F54F1D" w:rsidP="005B4F12">
      <w:pPr>
        <w:spacing w:after="0" w:line="240" w:lineRule="auto"/>
      </w:pPr>
      <w:r>
        <w:separator/>
      </w:r>
    </w:p>
  </w:footnote>
  <w:footnote w:type="continuationSeparator" w:id="0">
    <w:p w:rsidR="00F54F1D" w:rsidRDefault="00F54F1D" w:rsidP="005B4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12" w:rsidRPr="005B4F12" w:rsidRDefault="005B4F12">
    <w:pPr>
      <w:pStyle w:val="Header"/>
      <w:jc w:val="right"/>
      <w:rPr>
        <w:rFonts w:ascii="Times New Roman" w:hAnsi="Times New Roman" w:cs="Times New Roman"/>
        <w:sz w:val="24"/>
      </w:rPr>
    </w:pPr>
    <w:r w:rsidRPr="005B4F12">
      <w:rPr>
        <w:rFonts w:ascii="Times New Roman" w:hAnsi="Times New Roman" w:cs="Times New Roman"/>
        <w:sz w:val="24"/>
      </w:rPr>
      <w:t xml:space="preserve">Last Name </w:t>
    </w:r>
    <w:sdt>
      <w:sdtPr>
        <w:rPr>
          <w:rFonts w:ascii="Times New Roman" w:hAnsi="Times New Roman" w:cs="Times New Roman"/>
          <w:sz w:val="24"/>
        </w:rPr>
        <w:id w:val="1692881139"/>
        <w:docPartObj>
          <w:docPartGallery w:val="Page Numbers (Top of Page)"/>
          <w:docPartUnique/>
        </w:docPartObj>
      </w:sdtPr>
      <w:sdtEndPr>
        <w:rPr>
          <w:noProof/>
        </w:rPr>
      </w:sdtEndPr>
      <w:sdtContent>
        <w:r w:rsidRPr="005B4F12">
          <w:rPr>
            <w:rFonts w:ascii="Times New Roman" w:hAnsi="Times New Roman" w:cs="Times New Roman"/>
            <w:sz w:val="24"/>
          </w:rPr>
          <w:fldChar w:fldCharType="begin"/>
        </w:r>
        <w:r w:rsidRPr="005B4F12">
          <w:rPr>
            <w:rFonts w:ascii="Times New Roman" w:hAnsi="Times New Roman" w:cs="Times New Roman"/>
            <w:sz w:val="24"/>
          </w:rPr>
          <w:instrText xml:space="preserve"> PAGE   \* MERGEFORMAT </w:instrText>
        </w:r>
        <w:r w:rsidRPr="005B4F12">
          <w:rPr>
            <w:rFonts w:ascii="Times New Roman" w:hAnsi="Times New Roman" w:cs="Times New Roman"/>
            <w:sz w:val="24"/>
          </w:rPr>
          <w:fldChar w:fldCharType="separate"/>
        </w:r>
        <w:r>
          <w:rPr>
            <w:rFonts w:ascii="Times New Roman" w:hAnsi="Times New Roman" w:cs="Times New Roman"/>
            <w:noProof/>
            <w:sz w:val="24"/>
          </w:rPr>
          <w:t>1</w:t>
        </w:r>
        <w:r w:rsidRPr="005B4F12">
          <w:rPr>
            <w:rFonts w:ascii="Times New Roman" w:hAnsi="Times New Roman" w:cs="Times New Roman"/>
            <w:noProof/>
            <w:sz w:val="24"/>
          </w:rPr>
          <w:fldChar w:fldCharType="end"/>
        </w:r>
      </w:sdtContent>
    </w:sdt>
  </w:p>
  <w:p w:rsidR="005B4F12" w:rsidRDefault="005B4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79"/>
    <w:rsid w:val="004830A9"/>
    <w:rsid w:val="005B4F12"/>
    <w:rsid w:val="00EF6479"/>
    <w:rsid w:val="00F54F1D"/>
    <w:rsid w:val="00F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0EAB6-F704-4C04-8FCE-EE989B12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4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4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12"/>
  </w:style>
  <w:style w:type="paragraph" w:styleId="Footer">
    <w:name w:val="footer"/>
    <w:basedOn w:val="Normal"/>
    <w:link w:val="FooterChar"/>
    <w:uiPriority w:val="99"/>
    <w:unhideWhenUsed/>
    <w:rsid w:val="005B4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12"/>
  </w:style>
  <w:style w:type="character" w:styleId="Hyperlink">
    <w:name w:val="Hyperlink"/>
    <w:basedOn w:val="DefaultParagraphFont"/>
    <w:uiPriority w:val="99"/>
    <w:semiHidden/>
    <w:unhideWhenUsed/>
    <w:rsid w:val="005B4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248529">
      <w:bodyDiv w:val="1"/>
      <w:marLeft w:val="0"/>
      <w:marRight w:val="0"/>
      <w:marTop w:val="0"/>
      <w:marBottom w:val="0"/>
      <w:divBdr>
        <w:top w:val="none" w:sz="0" w:space="0" w:color="auto"/>
        <w:left w:val="none" w:sz="0" w:space="0" w:color="auto"/>
        <w:bottom w:val="none" w:sz="0" w:space="0" w:color="auto"/>
        <w:right w:val="none" w:sz="0" w:space="0" w:color="auto"/>
      </w:divBdr>
      <w:divsChild>
        <w:div w:id="1543832493">
          <w:marLeft w:val="480"/>
          <w:marRight w:val="0"/>
          <w:marTop w:val="0"/>
          <w:marBottom w:val="0"/>
          <w:divBdr>
            <w:top w:val="none" w:sz="0" w:space="0" w:color="auto"/>
            <w:left w:val="none" w:sz="0" w:space="0" w:color="auto"/>
            <w:bottom w:val="none" w:sz="0" w:space="0" w:color="auto"/>
            <w:right w:val="none" w:sz="0" w:space="0" w:color="auto"/>
          </w:divBdr>
          <w:divsChild>
            <w:div w:id="1672836096">
              <w:marLeft w:val="0"/>
              <w:marRight w:val="0"/>
              <w:marTop w:val="0"/>
              <w:marBottom w:val="0"/>
              <w:divBdr>
                <w:top w:val="none" w:sz="0" w:space="0" w:color="auto"/>
                <w:left w:val="none" w:sz="0" w:space="0" w:color="auto"/>
                <w:bottom w:val="none" w:sz="0" w:space="0" w:color="auto"/>
                <w:right w:val="none" w:sz="0" w:space="0" w:color="auto"/>
              </w:divBdr>
            </w:div>
            <w:div w:id="1271623412">
              <w:marLeft w:val="0"/>
              <w:marRight w:val="0"/>
              <w:marTop w:val="0"/>
              <w:marBottom w:val="0"/>
              <w:divBdr>
                <w:top w:val="none" w:sz="0" w:space="0" w:color="auto"/>
                <w:left w:val="none" w:sz="0" w:space="0" w:color="auto"/>
                <w:bottom w:val="none" w:sz="0" w:space="0" w:color="auto"/>
                <w:right w:val="none" w:sz="0" w:space="0" w:color="auto"/>
              </w:divBdr>
            </w:div>
            <w:div w:id="5262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49-022-01003-7" TargetMode="External"/><Relationship Id="rId3" Type="http://schemas.openxmlformats.org/officeDocument/2006/relationships/webSettings" Target="webSettings.xml"/><Relationship Id="rId7" Type="http://schemas.openxmlformats.org/officeDocument/2006/relationships/hyperlink" Target="https://doi.org/10.3389/fpubh.2024.13943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heliyon.2024.e4033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2026-05-01T21:37:00Z</dcterms:created>
  <dcterms:modified xsi:type="dcterms:W3CDTF">2026-05-01T22:18:00Z</dcterms:modified>
</cp:coreProperties>
</file>