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CA" w:rsidRDefault="001B1ECA" w:rsidP="001B1ECA">
      <w:pPr>
        <w:spacing w:after="0" w:line="480" w:lineRule="auto"/>
        <w:jc w:val="center"/>
        <w:rPr>
          <w:rFonts w:ascii="Times New Roman" w:eastAsia="Times New Roman" w:hAnsi="Times New Roman" w:cs="Times New Roman"/>
          <w:b/>
          <w:sz w:val="24"/>
          <w:szCs w:val="24"/>
        </w:rPr>
      </w:pPr>
    </w:p>
    <w:p w:rsidR="001B1ECA" w:rsidRDefault="001B1ECA" w:rsidP="001B1ECA">
      <w:pPr>
        <w:spacing w:after="0" w:line="480" w:lineRule="auto"/>
        <w:jc w:val="center"/>
        <w:rPr>
          <w:rFonts w:ascii="Times New Roman" w:eastAsia="Times New Roman" w:hAnsi="Times New Roman" w:cs="Times New Roman"/>
          <w:b/>
          <w:sz w:val="24"/>
          <w:szCs w:val="24"/>
        </w:rPr>
      </w:pPr>
    </w:p>
    <w:p w:rsidR="001B1ECA" w:rsidRDefault="001B1ECA" w:rsidP="001B1ECA">
      <w:pPr>
        <w:spacing w:after="0" w:line="480" w:lineRule="auto"/>
        <w:jc w:val="center"/>
        <w:rPr>
          <w:rFonts w:ascii="Times New Roman" w:eastAsia="Times New Roman" w:hAnsi="Times New Roman" w:cs="Times New Roman"/>
          <w:b/>
          <w:sz w:val="24"/>
          <w:szCs w:val="24"/>
        </w:rPr>
      </w:pPr>
    </w:p>
    <w:p w:rsidR="001B1ECA" w:rsidRDefault="001B1ECA" w:rsidP="001B1ECA">
      <w:pPr>
        <w:spacing w:after="0" w:line="480" w:lineRule="auto"/>
        <w:jc w:val="center"/>
        <w:rPr>
          <w:rFonts w:ascii="Times New Roman" w:eastAsia="Times New Roman" w:hAnsi="Times New Roman" w:cs="Times New Roman"/>
          <w:b/>
          <w:sz w:val="24"/>
          <w:szCs w:val="24"/>
        </w:rPr>
      </w:pPr>
    </w:p>
    <w:p w:rsidR="001B1ECA" w:rsidRDefault="00647185" w:rsidP="001B1EC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w:t>
      </w:r>
      <w:r w:rsidR="001B1ECA" w:rsidRPr="001B1ECA">
        <w:rPr>
          <w:rFonts w:ascii="Times New Roman" w:eastAsia="Times New Roman" w:hAnsi="Times New Roman" w:cs="Times New Roman"/>
          <w:b/>
          <w:sz w:val="24"/>
          <w:szCs w:val="24"/>
        </w:rPr>
        <w:t xml:space="preserve"> Essay</w:t>
      </w:r>
    </w:p>
    <w:p w:rsidR="001B1ECA" w:rsidRDefault="001B1ECA" w:rsidP="001B1ECA">
      <w:pPr>
        <w:spacing w:after="0" w:line="480" w:lineRule="auto"/>
        <w:jc w:val="center"/>
        <w:rPr>
          <w:rFonts w:ascii="Times New Roman" w:eastAsia="Times New Roman" w:hAnsi="Times New Roman" w:cs="Times New Roman"/>
          <w:b/>
          <w:sz w:val="24"/>
          <w:szCs w:val="24"/>
        </w:rPr>
      </w:pPr>
    </w:p>
    <w:p w:rsidR="001B1ECA" w:rsidRPr="003256CF" w:rsidRDefault="001B1ECA" w:rsidP="001B1ECA">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rsidR="001B1ECA" w:rsidRPr="00741DD9" w:rsidRDefault="001B1ECA" w:rsidP="001B1ECA">
      <w:pPr>
        <w:spacing w:after="0" w:line="480" w:lineRule="auto"/>
        <w:jc w:val="center"/>
        <w:rPr>
          <w:rFonts w:asciiTheme="majorBidi" w:hAnsiTheme="majorBidi" w:cstheme="majorBidi"/>
          <w:b/>
          <w:sz w:val="24"/>
          <w:szCs w:val="24"/>
        </w:rPr>
      </w:pPr>
      <w:r>
        <w:rPr>
          <w:rFonts w:asciiTheme="majorBidi" w:hAnsiTheme="majorBidi" w:cstheme="majorBidi"/>
          <w:sz w:val="24"/>
          <w:szCs w:val="24"/>
        </w:rPr>
        <w:t>Name of the Institution</w:t>
      </w:r>
    </w:p>
    <w:p w:rsidR="001B1ECA" w:rsidRDefault="001B1ECA" w:rsidP="001B1ECA">
      <w:pPr>
        <w:spacing w:after="0" w:line="480" w:lineRule="auto"/>
        <w:jc w:val="center"/>
        <w:rPr>
          <w:rFonts w:asciiTheme="majorBidi" w:hAnsiTheme="majorBidi" w:cstheme="majorBidi"/>
          <w:sz w:val="24"/>
          <w:szCs w:val="24"/>
        </w:rPr>
      </w:pPr>
      <w:r>
        <w:rPr>
          <w:rFonts w:asciiTheme="majorBidi" w:hAnsiTheme="majorBidi" w:cstheme="majorBidi"/>
          <w:sz w:val="24"/>
          <w:szCs w:val="24"/>
        </w:rPr>
        <w:t>Course Code</w:t>
      </w:r>
    </w:p>
    <w:p w:rsidR="001B1ECA" w:rsidRDefault="001B1ECA" w:rsidP="001B1ECA">
      <w:pPr>
        <w:spacing w:after="0" w:line="480" w:lineRule="auto"/>
        <w:jc w:val="center"/>
        <w:rPr>
          <w:rFonts w:asciiTheme="majorBidi" w:hAnsiTheme="majorBidi" w:cstheme="majorBidi"/>
          <w:sz w:val="24"/>
          <w:szCs w:val="24"/>
        </w:rPr>
      </w:pPr>
      <w:r>
        <w:rPr>
          <w:rFonts w:asciiTheme="majorBidi" w:hAnsiTheme="majorBidi" w:cstheme="majorBidi"/>
          <w:sz w:val="24"/>
          <w:szCs w:val="24"/>
        </w:rPr>
        <w:t>Name of the Instructor</w:t>
      </w:r>
    </w:p>
    <w:p w:rsidR="001B1ECA" w:rsidRPr="001B1ECA" w:rsidRDefault="001B1ECA" w:rsidP="001B1ECA">
      <w:pPr>
        <w:spacing w:after="0" w:line="480" w:lineRule="auto"/>
        <w:jc w:val="center"/>
        <w:rPr>
          <w:rFonts w:asciiTheme="majorBidi" w:hAnsiTheme="majorBidi" w:cstheme="majorBidi"/>
          <w:sz w:val="24"/>
          <w:szCs w:val="24"/>
        </w:rPr>
      </w:pPr>
      <w:r>
        <w:rPr>
          <w:rFonts w:asciiTheme="majorBidi" w:hAnsiTheme="majorBidi" w:cstheme="majorBidi"/>
          <w:sz w:val="24"/>
          <w:szCs w:val="24"/>
        </w:rPr>
        <w:t>Date</w:t>
      </w:r>
    </w:p>
    <w:p w:rsidR="001B1ECA" w:rsidRDefault="001B1E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B1ECA" w:rsidRPr="001B1ECA" w:rsidRDefault="00647185" w:rsidP="001B1ECA">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Reflective</w:t>
      </w:r>
      <w:bookmarkStart w:id="0" w:name="_GoBack"/>
      <w:bookmarkEnd w:id="0"/>
      <w:r w:rsidR="001B1ECA" w:rsidRPr="001B1ECA">
        <w:rPr>
          <w:rFonts w:ascii="Times New Roman" w:eastAsia="Times New Roman" w:hAnsi="Times New Roman" w:cs="Times New Roman"/>
          <w:b/>
          <w:sz w:val="24"/>
          <w:szCs w:val="24"/>
        </w:rPr>
        <w:t xml:space="preserve"> Essay</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The beginning of the sixteenth century in the Holy Roman Empire was marked by the struggle over the power of religion, civil order, and the definition of reform. In Germany, social tension and conflicting claims to the power to establish righteous belief put pressure on rulers and city councils. The issue with Augsburg is that it was an imperial city, and religious decisions influenced the peace of the population. This paper argues that the fear of power and punishment contributed to the German Reformation and that around 1531, the city of Augsburg displayed the cause of the Reformation through disputed civic activity.</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Long-term crisis stimulated rulers to be afraid of disorder and respond to change with control. Moreover, </w:t>
      </w:r>
      <w:r>
        <w:rPr>
          <w:rFonts w:ascii="Times New Roman" w:eastAsia="Times New Roman" w:hAnsi="Times New Roman" w:cs="Times New Roman"/>
          <w:sz w:val="24"/>
          <w:szCs w:val="24"/>
        </w:rPr>
        <w:t>p</w:t>
      </w:r>
      <w:r w:rsidRPr="001B1ECA">
        <w:rPr>
          <w:rFonts w:ascii="Times New Roman" w:eastAsia="Times New Roman" w:hAnsi="Times New Roman" w:cs="Times New Roman"/>
          <w:sz w:val="24"/>
          <w:szCs w:val="24"/>
        </w:rPr>
        <w:t>ost-plague labor laws were not based on simple supply-and-demand logic but rather increased due to elite apprehension of commoners. The attempts to regulate labor were caused by the fear of greediness and the alleged new forces of the subaltern classes (Cohn, 2007). This implies that the conflicts concerning the hierarchy were already acute and might further escalate the religious confrontation.</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Moreover, the Reformation war transformed cities as belief and moral control became interconnected. As a way of relegating women to a domestic sphere, Catholic and Protestant figures were encouraging women to be close to the home, as a means of domesticating them (Chapuis-Després, 2018). This proves that confession competition fostered disciplinary programs that extended to everyday life, and urban government was an important field of reform.</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Similarly, Catholic authorities also promoted orthodoxy by means of institutions that viewed error as a social threat. The Holy Office was the institution that determined heresy and punished heretics, and the Index determined the suitability of books to doctrine (Pettersen et al., </w:t>
      </w:r>
      <w:r w:rsidRPr="001B1ECA">
        <w:rPr>
          <w:rFonts w:ascii="Times New Roman" w:eastAsia="Times New Roman" w:hAnsi="Times New Roman" w:cs="Times New Roman"/>
          <w:sz w:val="24"/>
          <w:szCs w:val="24"/>
        </w:rPr>
        <w:lastRenderedPageBreak/>
        <w:t>2022). It means that once Protestantism spread, the power of the Church was based on probing and censorship, and put more stress on the communities that considered reform.</w:t>
      </w:r>
    </w:p>
    <w:p w:rsidR="001B1ECA" w:rsidRPr="001B1ECA" w:rsidRDefault="001B1ECA" w:rsidP="001B1ECA">
      <w:pPr>
        <w:spacing w:after="0" w:line="480" w:lineRule="auto"/>
        <w:jc w:val="center"/>
        <w:rPr>
          <w:rFonts w:ascii="Times New Roman" w:eastAsia="Times New Roman" w:hAnsi="Times New Roman" w:cs="Times New Roman"/>
          <w:b/>
          <w:sz w:val="24"/>
          <w:szCs w:val="24"/>
        </w:rPr>
      </w:pPr>
      <w:r w:rsidRPr="001B1ECA">
        <w:rPr>
          <w:rFonts w:ascii="Times New Roman" w:eastAsia="Times New Roman" w:hAnsi="Times New Roman" w:cs="Times New Roman"/>
          <w:b/>
          <w:sz w:val="24"/>
          <w:szCs w:val="24"/>
        </w:rPr>
        <w:t>Reformation actions in Augsburg in 1531</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Augsburg reveals the reformation as belief was politicized in the decisions of the council. Gray (2003) locates that conflict within a city council that needs to balance between competing confessional stances in forming the religion of the people and the city. This demonstrates that reform was not purely theological, as a city's decision could restructure community identity and entail broader political risks.</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Besides, the religious preferences of Augsburg could not be discussed outside of the context of the unrest. Governments during the plague era achieved a degree of wage and price control with an enthusiasm that was lacking prior to the disaster (Cohn, 2007). This implies that the authorities learned to perceive instability as an emergency and that this tendency conditioned subsequent reactions towards religious division. As a result, it is possible to interpret Augsburg activities in 1531 as attempts to achieve peace and confessional conflict control.</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Likewise, confessions change frequently due to regulations governing behavior in the open area. Monitoring of female adolescents to ensure they were not involved in inappropriate relationships was an aspect of concern among the adherents of both religions (Chapuis-Després, 2018). This shows that reform discussions prompted leaders to police conduct to create a godly community. Thus, Augsburg shows how the Reformation might turn into the project of the regulation of everyday life in the name of order.</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In addition, another conflict between local and external control is disclosed in Augsburg as well. The Holy Office not only judged on heresy, but also voted on whether or not to publish books (Purnell et al., 2008). This means that the local changes were likely to attract the interest </w:t>
      </w:r>
      <w:r w:rsidRPr="001B1ECA">
        <w:rPr>
          <w:rFonts w:ascii="Times New Roman" w:eastAsia="Times New Roman" w:hAnsi="Times New Roman" w:cs="Times New Roman"/>
          <w:sz w:val="24"/>
          <w:szCs w:val="24"/>
        </w:rPr>
        <w:lastRenderedPageBreak/>
        <w:t>of the higher institutions that purported to exercise authority in the evaluation of doctrine. Thus, Augsburg in 1531 shows the Reformation as a conflict over who had the ultimate authority to determine the content of belief.</w:t>
      </w:r>
    </w:p>
    <w:p w:rsidR="001B1ECA" w:rsidRPr="001B1ECA"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Thus, the causes of the Reformation are linked to anxiety, discipline, and challenged authority, and Augsburg brings these forces to a civic act. In addition, Cohn (2007) demonstrates the elites' reaction to disruption through regulation, driven by fear of social inversion, and Chapuis Despres (2018) shows how acceptable behavior is limited by supervision in urban space by confession leaders. Furthermore, the materials of the council of fore</w:t>
      </w:r>
      <w:r>
        <w:rPr>
          <w:rFonts w:ascii="Times New Roman" w:eastAsia="Times New Roman" w:hAnsi="Times New Roman" w:cs="Times New Roman"/>
          <w:sz w:val="24"/>
          <w:szCs w:val="24"/>
        </w:rPr>
        <w:t>breares</w:t>
      </w:r>
      <w:r w:rsidRPr="001B1ECA">
        <w:rPr>
          <w:rFonts w:ascii="Times New Roman" w:eastAsia="Times New Roman" w:hAnsi="Times New Roman" w:cs="Times New Roman"/>
          <w:sz w:val="24"/>
          <w:szCs w:val="24"/>
        </w:rPr>
        <w:t xml:space="preserve"> in Augsburg by Gray define the options of the Catholic institutions on the question of worship and stability in hard times, and the text by Galileo explains the possibilities of the Catholic institutions to research the doctrine and to control the texts (Gray, 2023; Pettersen et al, 2022). This shows that in 1531, Augsburg transformed Reformation reasons into apparent popular choices.</w:t>
      </w:r>
    </w:p>
    <w:p w:rsidR="001B1ECA" w:rsidRPr="001B1ECA" w:rsidRDefault="001B1ECA" w:rsidP="001B1ECA">
      <w:pPr>
        <w:spacing w:after="0" w:line="480" w:lineRule="auto"/>
        <w:jc w:val="center"/>
        <w:rPr>
          <w:rFonts w:ascii="Times New Roman" w:eastAsia="Times New Roman" w:hAnsi="Times New Roman" w:cs="Times New Roman"/>
          <w:b/>
          <w:sz w:val="24"/>
          <w:szCs w:val="24"/>
        </w:rPr>
      </w:pPr>
      <w:r w:rsidRPr="001B1ECA">
        <w:rPr>
          <w:rFonts w:ascii="Times New Roman" w:eastAsia="Times New Roman" w:hAnsi="Times New Roman" w:cs="Times New Roman"/>
          <w:b/>
          <w:sz w:val="24"/>
          <w:szCs w:val="24"/>
        </w:rPr>
        <w:t>Conclusion</w:t>
      </w:r>
    </w:p>
    <w:p w:rsidR="00FC611B" w:rsidRDefault="001B1ECA" w:rsidP="001B1ECA">
      <w:pPr>
        <w:spacing w:after="0" w:line="480" w:lineRule="auto"/>
        <w:ind w:firstLine="72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The German Reformation grew out of earlier conflicts about status and social order, and programs that connected belief and discipline. Police more and more reacted to disturbances by controlling behavior and by policing orthodoxy, which hardened the lines of confession. In Augsburg circa 1531, these forces were reflected in civic choices on worship, peace in society, and legitimacy that were imposed by the imperial and Church forces. Augsburg then demonstrates the Reformation as a political and social event articulated in action in contention.</w:t>
      </w:r>
    </w:p>
    <w:p w:rsidR="001B1ECA" w:rsidRDefault="001B1E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1B1ECA" w:rsidRDefault="001B1ECA" w:rsidP="001B1ECA">
      <w:pPr>
        <w:spacing w:after="0" w:line="480" w:lineRule="auto"/>
        <w:jc w:val="center"/>
        <w:rPr>
          <w:rFonts w:ascii="Times New Roman" w:eastAsia="Times New Roman" w:hAnsi="Times New Roman" w:cs="Times New Roman"/>
          <w:b/>
          <w:sz w:val="24"/>
          <w:szCs w:val="24"/>
        </w:rPr>
      </w:pPr>
      <w:r w:rsidRPr="001B1ECA">
        <w:rPr>
          <w:rFonts w:ascii="Times New Roman" w:eastAsia="Times New Roman" w:hAnsi="Times New Roman" w:cs="Times New Roman"/>
          <w:b/>
          <w:sz w:val="24"/>
          <w:szCs w:val="24"/>
        </w:rPr>
        <w:lastRenderedPageBreak/>
        <w:t>References</w:t>
      </w:r>
    </w:p>
    <w:p w:rsidR="001B1ECA" w:rsidRPr="001B1ECA" w:rsidRDefault="001B1ECA" w:rsidP="001B1ECA">
      <w:pPr>
        <w:spacing w:after="0" w:line="480" w:lineRule="auto"/>
        <w:ind w:left="480" w:hanging="48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Chapuis-Després, S. (2018). Leaving home under supervision: Townswomen in urban space in the Holy Roman Empire (sixteenth and seventeenth centuries). </w:t>
      </w:r>
      <w:r w:rsidRPr="001B1ECA">
        <w:rPr>
          <w:rFonts w:ascii="Times New Roman" w:eastAsia="Times New Roman" w:hAnsi="Times New Roman" w:cs="Times New Roman"/>
          <w:i/>
          <w:iCs/>
          <w:sz w:val="24"/>
          <w:szCs w:val="24"/>
        </w:rPr>
        <w:t>Clio. Women, Gender, History</w:t>
      </w:r>
      <w:r w:rsidRPr="001B1ECA">
        <w:rPr>
          <w:rFonts w:ascii="Times New Roman" w:eastAsia="Times New Roman" w:hAnsi="Times New Roman" w:cs="Times New Roman"/>
          <w:sz w:val="24"/>
          <w:szCs w:val="24"/>
        </w:rPr>
        <w:t xml:space="preserve">, </w:t>
      </w:r>
      <w:r w:rsidRPr="001B1ECA">
        <w:rPr>
          <w:rFonts w:ascii="Times New Roman" w:eastAsia="Times New Roman" w:hAnsi="Times New Roman" w:cs="Times New Roman"/>
          <w:i/>
          <w:iCs/>
          <w:sz w:val="24"/>
          <w:szCs w:val="24"/>
        </w:rPr>
        <w:t>47</w:t>
      </w:r>
      <w:r w:rsidRPr="001B1ECA">
        <w:rPr>
          <w:rFonts w:ascii="Times New Roman" w:eastAsia="Times New Roman" w:hAnsi="Times New Roman" w:cs="Times New Roman"/>
          <w:sz w:val="24"/>
          <w:szCs w:val="24"/>
        </w:rPr>
        <w:t xml:space="preserve">(1), 199–228. </w:t>
      </w:r>
      <w:hyperlink r:id="rId6" w:history="1">
        <w:r w:rsidRPr="001B1ECA">
          <w:rPr>
            <w:rFonts w:ascii="Times New Roman" w:eastAsia="Times New Roman" w:hAnsi="Times New Roman" w:cs="Times New Roman"/>
            <w:color w:val="0000FF"/>
            <w:sz w:val="24"/>
            <w:szCs w:val="24"/>
            <w:u w:val="single"/>
          </w:rPr>
          <w:t>https://doi.org/10.4000/clio.14344</w:t>
        </w:r>
      </w:hyperlink>
    </w:p>
    <w:p w:rsidR="001B1ECA" w:rsidRPr="001B1ECA" w:rsidRDefault="001B1ECA" w:rsidP="001B1ECA">
      <w:pPr>
        <w:spacing w:after="0" w:line="480" w:lineRule="auto"/>
        <w:ind w:left="480" w:hanging="48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Cohn, S. (2007). After the Black Death: Labour Legislation and Attitudes Towards Labour in Late-Medieval Western Europe. </w:t>
      </w:r>
      <w:r w:rsidRPr="001B1ECA">
        <w:rPr>
          <w:rFonts w:ascii="Times New Roman" w:eastAsia="Times New Roman" w:hAnsi="Times New Roman" w:cs="Times New Roman"/>
          <w:i/>
          <w:iCs/>
          <w:sz w:val="24"/>
          <w:szCs w:val="24"/>
        </w:rPr>
        <w:t>The Economic History Review</w:t>
      </w:r>
      <w:r w:rsidRPr="001B1ECA">
        <w:rPr>
          <w:rFonts w:ascii="Times New Roman" w:eastAsia="Times New Roman" w:hAnsi="Times New Roman" w:cs="Times New Roman"/>
          <w:sz w:val="24"/>
          <w:szCs w:val="24"/>
        </w:rPr>
        <w:t xml:space="preserve">, </w:t>
      </w:r>
      <w:r w:rsidRPr="001B1ECA">
        <w:rPr>
          <w:rFonts w:ascii="Times New Roman" w:eastAsia="Times New Roman" w:hAnsi="Times New Roman" w:cs="Times New Roman"/>
          <w:i/>
          <w:iCs/>
          <w:sz w:val="24"/>
          <w:szCs w:val="24"/>
        </w:rPr>
        <w:t>60</w:t>
      </w:r>
      <w:r w:rsidRPr="001B1ECA">
        <w:rPr>
          <w:rFonts w:ascii="Times New Roman" w:eastAsia="Times New Roman" w:hAnsi="Times New Roman" w:cs="Times New Roman"/>
          <w:sz w:val="24"/>
          <w:szCs w:val="24"/>
        </w:rPr>
        <w:t xml:space="preserve">(3), 457–485. </w:t>
      </w:r>
      <w:hyperlink r:id="rId7" w:history="1">
        <w:r w:rsidRPr="001B1ECA">
          <w:rPr>
            <w:rFonts w:ascii="Times New Roman" w:eastAsia="Times New Roman" w:hAnsi="Times New Roman" w:cs="Times New Roman"/>
            <w:color w:val="0000FF"/>
            <w:sz w:val="24"/>
            <w:szCs w:val="24"/>
            <w:u w:val="single"/>
          </w:rPr>
          <w:t>https://www.jstor.org/stable/4502106</w:t>
        </w:r>
      </w:hyperlink>
    </w:p>
    <w:p w:rsidR="001B1ECA" w:rsidRPr="001B1ECA" w:rsidRDefault="001B1ECA" w:rsidP="001B1ECA">
      <w:pPr>
        <w:spacing w:after="0" w:line="480" w:lineRule="auto"/>
        <w:ind w:left="480" w:hanging="48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Gray, E. F. (2023). </w:t>
      </w:r>
      <w:r w:rsidRPr="001B1ECA">
        <w:rPr>
          <w:rFonts w:ascii="Times New Roman" w:eastAsia="Times New Roman" w:hAnsi="Times New Roman" w:cs="Times New Roman"/>
          <w:i/>
          <w:iCs/>
          <w:sz w:val="24"/>
          <w:szCs w:val="24"/>
        </w:rPr>
        <w:t>Wrestling with the Reformation in Augsburg, 1530</w:t>
      </w:r>
      <w:r w:rsidRPr="001B1ECA">
        <w:rPr>
          <w:rFonts w:ascii="Times New Roman" w:eastAsia="Times New Roman" w:hAnsi="Times New Roman" w:cs="Times New Roman"/>
          <w:sz w:val="24"/>
          <w:szCs w:val="24"/>
        </w:rPr>
        <w:t>. UNC Press Books.</w:t>
      </w:r>
    </w:p>
    <w:p w:rsidR="001B1ECA" w:rsidRPr="001B1ECA" w:rsidRDefault="001B1ECA" w:rsidP="001B1ECA">
      <w:pPr>
        <w:spacing w:after="0" w:line="480" w:lineRule="auto"/>
        <w:ind w:left="480" w:hanging="480"/>
        <w:rPr>
          <w:rFonts w:ascii="Times New Roman" w:eastAsia="Times New Roman" w:hAnsi="Times New Roman" w:cs="Times New Roman"/>
          <w:sz w:val="24"/>
          <w:szCs w:val="24"/>
        </w:rPr>
      </w:pPr>
      <w:r w:rsidRPr="001B1ECA">
        <w:rPr>
          <w:rFonts w:ascii="Times New Roman" w:eastAsia="Times New Roman" w:hAnsi="Times New Roman" w:cs="Times New Roman"/>
          <w:sz w:val="24"/>
          <w:szCs w:val="24"/>
        </w:rPr>
        <w:t xml:space="preserve">Pettersen, M. S., Jr, F. P., &amp; Carnes, M. C. (2022). </w:t>
      </w:r>
      <w:r w:rsidRPr="001B1ECA">
        <w:rPr>
          <w:rFonts w:ascii="Times New Roman" w:eastAsia="Times New Roman" w:hAnsi="Times New Roman" w:cs="Times New Roman"/>
          <w:i/>
          <w:iCs/>
          <w:sz w:val="24"/>
          <w:szCs w:val="24"/>
        </w:rPr>
        <w:t>The Trial of Galileo: Aristotelianism, the “New Cosmology,” and the Catholic Church, 1616–1633</w:t>
      </w:r>
      <w:r w:rsidRPr="001B1ECA">
        <w:rPr>
          <w:rFonts w:ascii="Times New Roman" w:eastAsia="Times New Roman" w:hAnsi="Times New Roman" w:cs="Times New Roman"/>
          <w:sz w:val="24"/>
          <w:szCs w:val="24"/>
        </w:rPr>
        <w:t>. University of North Carolina Press.</w:t>
      </w:r>
    </w:p>
    <w:p w:rsidR="001B1ECA" w:rsidRPr="001B1ECA" w:rsidRDefault="001B1ECA" w:rsidP="001B1ECA">
      <w:pPr>
        <w:spacing w:after="0" w:line="480" w:lineRule="auto"/>
        <w:rPr>
          <w:b/>
          <w:sz w:val="24"/>
          <w:szCs w:val="24"/>
        </w:rPr>
      </w:pPr>
    </w:p>
    <w:sectPr w:rsidR="001B1ECA" w:rsidRPr="001B1EC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561" w:rsidRDefault="006A5561" w:rsidP="001B1ECA">
      <w:pPr>
        <w:spacing w:after="0" w:line="240" w:lineRule="auto"/>
      </w:pPr>
      <w:r>
        <w:separator/>
      </w:r>
    </w:p>
  </w:endnote>
  <w:endnote w:type="continuationSeparator" w:id="0">
    <w:p w:rsidR="006A5561" w:rsidRDefault="006A5561" w:rsidP="001B1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561" w:rsidRDefault="006A5561" w:rsidP="001B1ECA">
      <w:pPr>
        <w:spacing w:after="0" w:line="240" w:lineRule="auto"/>
      </w:pPr>
      <w:r>
        <w:separator/>
      </w:r>
    </w:p>
  </w:footnote>
  <w:footnote w:type="continuationSeparator" w:id="0">
    <w:p w:rsidR="006A5561" w:rsidRDefault="006A5561" w:rsidP="001B1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0593816"/>
      <w:docPartObj>
        <w:docPartGallery w:val="Page Numbers (Top of Page)"/>
        <w:docPartUnique/>
      </w:docPartObj>
    </w:sdtPr>
    <w:sdtEndPr>
      <w:rPr>
        <w:noProof/>
      </w:rPr>
    </w:sdtEndPr>
    <w:sdtContent>
      <w:p w:rsidR="001B1ECA" w:rsidRDefault="001B1ECA">
        <w:pPr>
          <w:pStyle w:val="Header"/>
          <w:jc w:val="right"/>
        </w:pPr>
        <w:r>
          <w:fldChar w:fldCharType="begin"/>
        </w:r>
        <w:r>
          <w:instrText xml:space="preserve"> PAGE   \* MERGEFORMAT </w:instrText>
        </w:r>
        <w:r>
          <w:fldChar w:fldCharType="separate"/>
        </w:r>
        <w:r w:rsidR="00647185">
          <w:rPr>
            <w:noProof/>
          </w:rPr>
          <w:t>5</w:t>
        </w:r>
        <w:r>
          <w:rPr>
            <w:noProof/>
          </w:rPr>
          <w:fldChar w:fldCharType="end"/>
        </w:r>
      </w:p>
    </w:sdtContent>
  </w:sdt>
  <w:p w:rsidR="001B1ECA" w:rsidRDefault="001B1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CA"/>
    <w:rsid w:val="001B1ECA"/>
    <w:rsid w:val="002E6DE1"/>
    <w:rsid w:val="003A28D0"/>
    <w:rsid w:val="00647185"/>
    <w:rsid w:val="006A5561"/>
    <w:rsid w:val="00DF3236"/>
    <w:rsid w:val="00FC6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AF364-D1D7-48A1-B66A-E89FDC31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B1E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1E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E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1E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1E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ECA"/>
    <w:pPr>
      <w:ind w:left="720"/>
      <w:contextualSpacing/>
    </w:pPr>
  </w:style>
  <w:style w:type="paragraph" w:styleId="Header">
    <w:name w:val="header"/>
    <w:basedOn w:val="Normal"/>
    <w:link w:val="HeaderChar"/>
    <w:uiPriority w:val="99"/>
    <w:unhideWhenUsed/>
    <w:rsid w:val="001B1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CA"/>
  </w:style>
  <w:style w:type="paragraph" w:styleId="Footer">
    <w:name w:val="footer"/>
    <w:basedOn w:val="Normal"/>
    <w:link w:val="FooterChar"/>
    <w:uiPriority w:val="99"/>
    <w:unhideWhenUsed/>
    <w:rsid w:val="001B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CA"/>
  </w:style>
  <w:style w:type="character" w:styleId="Hyperlink">
    <w:name w:val="Hyperlink"/>
    <w:basedOn w:val="DefaultParagraphFont"/>
    <w:uiPriority w:val="99"/>
    <w:semiHidden/>
    <w:unhideWhenUsed/>
    <w:rsid w:val="001B1E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45276">
      <w:bodyDiv w:val="1"/>
      <w:marLeft w:val="0"/>
      <w:marRight w:val="0"/>
      <w:marTop w:val="0"/>
      <w:marBottom w:val="0"/>
      <w:divBdr>
        <w:top w:val="none" w:sz="0" w:space="0" w:color="auto"/>
        <w:left w:val="none" w:sz="0" w:space="0" w:color="auto"/>
        <w:bottom w:val="none" w:sz="0" w:space="0" w:color="auto"/>
        <w:right w:val="none" w:sz="0" w:space="0" w:color="auto"/>
      </w:divBdr>
    </w:div>
    <w:div w:id="1147433823">
      <w:bodyDiv w:val="1"/>
      <w:marLeft w:val="0"/>
      <w:marRight w:val="0"/>
      <w:marTop w:val="0"/>
      <w:marBottom w:val="0"/>
      <w:divBdr>
        <w:top w:val="none" w:sz="0" w:space="0" w:color="auto"/>
        <w:left w:val="none" w:sz="0" w:space="0" w:color="auto"/>
        <w:bottom w:val="none" w:sz="0" w:space="0" w:color="auto"/>
        <w:right w:val="none" w:sz="0" w:space="0" w:color="auto"/>
      </w:divBdr>
      <w:divsChild>
        <w:div w:id="161362512">
          <w:marLeft w:val="480"/>
          <w:marRight w:val="0"/>
          <w:marTop w:val="0"/>
          <w:marBottom w:val="0"/>
          <w:divBdr>
            <w:top w:val="none" w:sz="0" w:space="0" w:color="auto"/>
            <w:left w:val="none" w:sz="0" w:space="0" w:color="auto"/>
            <w:bottom w:val="none" w:sz="0" w:space="0" w:color="auto"/>
            <w:right w:val="none" w:sz="0" w:space="0" w:color="auto"/>
          </w:divBdr>
          <w:divsChild>
            <w:div w:id="1981496468">
              <w:marLeft w:val="0"/>
              <w:marRight w:val="0"/>
              <w:marTop w:val="0"/>
              <w:marBottom w:val="0"/>
              <w:divBdr>
                <w:top w:val="none" w:sz="0" w:space="0" w:color="auto"/>
                <w:left w:val="none" w:sz="0" w:space="0" w:color="auto"/>
                <w:bottom w:val="none" w:sz="0" w:space="0" w:color="auto"/>
                <w:right w:val="none" w:sz="0" w:space="0" w:color="auto"/>
              </w:divBdr>
            </w:div>
            <w:div w:id="496001899">
              <w:marLeft w:val="0"/>
              <w:marRight w:val="0"/>
              <w:marTop w:val="0"/>
              <w:marBottom w:val="0"/>
              <w:divBdr>
                <w:top w:val="none" w:sz="0" w:space="0" w:color="auto"/>
                <w:left w:val="none" w:sz="0" w:space="0" w:color="auto"/>
                <w:bottom w:val="none" w:sz="0" w:space="0" w:color="auto"/>
                <w:right w:val="none" w:sz="0" w:space="0" w:color="auto"/>
              </w:divBdr>
            </w:div>
            <w:div w:id="562526778">
              <w:marLeft w:val="0"/>
              <w:marRight w:val="0"/>
              <w:marTop w:val="0"/>
              <w:marBottom w:val="0"/>
              <w:divBdr>
                <w:top w:val="none" w:sz="0" w:space="0" w:color="auto"/>
                <w:left w:val="none" w:sz="0" w:space="0" w:color="auto"/>
                <w:bottom w:val="none" w:sz="0" w:space="0" w:color="auto"/>
                <w:right w:val="none" w:sz="0" w:space="0" w:color="auto"/>
              </w:divBdr>
            </w:div>
            <w:div w:id="11128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jstor.org/stable/45021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000/clio.1434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2026-05-02T07:11:00Z</dcterms:created>
  <dcterms:modified xsi:type="dcterms:W3CDTF">2026-05-02T07:25:00Z</dcterms:modified>
</cp:coreProperties>
</file>