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47A8C299" w14:textId="77777777" w:rsidR="00185A87" w:rsidRPr="00185A87" w:rsidRDefault="00185A87" w:rsidP="00B214C4">
      <w:pPr>
        <w:pStyle w:val="Heading3"/>
        <w:spacing w:before="0" w:after="0" w:line="480" w:lineRule="auto"/>
        <w:jc w:val="center"/>
        <w:rPr>
          <w:rFonts w:ascii="Times New Roman" w:hAnsi="Times New Roman" w:cs="Times New Roman"/>
          <w:b/>
          <w:bCs/>
          <w:color w:val="auto"/>
          <w:sz w:val="24"/>
          <w:szCs w:val="24"/>
        </w:rPr>
      </w:pPr>
      <w:r w:rsidRPr="00185A87">
        <w:rPr>
          <w:rFonts w:ascii="Times New Roman" w:hAnsi="Times New Roman" w:cs="Times New Roman"/>
          <w:b/>
          <w:bCs/>
          <w:color w:val="auto"/>
          <w:sz w:val="24"/>
          <w:szCs w:val="24"/>
        </w:rPr>
        <w:t>The Pathophysiology and Clinical Consequences of Alzheimer’s Disease</w:t>
      </w:r>
    </w:p>
    <w:p w14:paraId="6329B1B4" w14:textId="77777777" w:rsidR="001B081A" w:rsidRPr="00185A87" w:rsidRDefault="001B081A" w:rsidP="00B214C4">
      <w:pPr>
        <w:spacing w:line="480" w:lineRule="auto"/>
        <w:ind w:firstLine="720"/>
        <w:jc w:val="center"/>
        <w:rPr>
          <w:rFonts w:ascii="Times New Roman" w:eastAsia="Times New Roman" w:hAnsi="Times New Roman" w:cs="Times New Roman"/>
          <w:sz w:val="24"/>
          <w:szCs w:val="24"/>
        </w:rPr>
      </w:pPr>
    </w:p>
    <w:p w14:paraId="4643785F" w14:textId="77777777" w:rsidR="00FB4A59"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Name of Author</w:t>
      </w:r>
    </w:p>
    <w:p w14:paraId="256DA357" w14:textId="77777777" w:rsidR="00FB4A59"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Instructor Name</w:t>
      </w:r>
    </w:p>
    <w:p w14:paraId="7A1FF760" w14:textId="77777777" w:rsidR="00FB4A59"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Institutional Affiliation</w:t>
      </w:r>
    </w:p>
    <w:p w14:paraId="3762159C" w14:textId="77777777" w:rsidR="00FB4A59"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Course Code and Number</w:t>
      </w:r>
    </w:p>
    <w:p w14:paraId="48E3E5B3" w14:textId="77777777" w:rsidR="00D832DD"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Date of Submission</w:t>
      </w:r>
    </w:p>
    <w:p w14:paraId="3B9C0D34" w14:textId="77777777" w:rsidR="00EF46EA" w:rsidRPr="00185A87" w:rsidRDefault="00EF46EA" w:rsidP="00B214C4">
      <w:pPr>
        <w:spacing w:line="480" w:lineRule="auto"/>
        <w:rPr>
          <w:rFonts w:ascii="Times New Roman" w:hAnsi="Times New Roman" w:cs="Times New Roman"/>
          <w:sz w:val="24"/>
          <w:szCs w:val="24"/>
        </w:rPr>
      </w:pPr>
      <w:r w:rsidRPr="00185A87">
        <w:rPr>
          <w:rFonts w:ascii="Times New Roman" w:hAnsi="Times New Roman" w:cs="Times New Roman"/>
          <w:sz w:val="24"/>
          <w:szCs w:val="24"/>
        </w:rPr>
        <w:br w:type="page"/>
      </w:r>
    </w:p>
    <w:p w14:paraId="67D54891" w14:textId="77777777" w:rsidR="00185A87" w:rsidRPr="00185A87" w:rsidRDefault="00185A87" w:rsidP="00B214C4">
      <w:pPr>
        <w:pStyle w:val="Heading3"/>
        <w:spacing w:before="0" w:after="0" w:line="480" w:lineRule="auto"/>
        <w:jc w:val="center"/>
        <w:rPr>
          <w:rFonts w:ascii="Times New Roman" w:hAnsi="Times New Roman" w:cs="Times New Roman"/>
          <w:b/>
          <w:bCs/>
          <w:color w:val="auto"/>
          <w:sz w:val="24"/>
          <w:szCs w:val="24"/>
        </w:rPr>
      </w:pPr>
      <w:r w:rsidRPr="00185A87">
        <w:rPr>
          <w:rFonts w:ascii="Times New Roman" w:hAnsi="Times New Roman" w:cs="Times New Roman"/>
          <w:b/>
          <w:bCs/>
          <w:color w:val="auto"/>
          <w:sz w:val="24"/>
          <w:szCs w:val="24"/>
        </w:rPr>
        <w:lastRenderedPageBreak/>
        <w:t>The Pathophysiology and Clinical Consequences of Alzheimer’s Disease</w:t>
      </w:r>
    </w:p>
    <w:p w14:paraId="41DC683F" w14:textId="663895B0" w:rsidR="00746F23" w:rsidRDefault="00B214C4" w:rsidP="00B214C4">
      <w:pPr>
        <w:pStyle w:val="NormalWeb"/>
        <w:spacing w:before="0" w:beforeAutospacing="0" w:after="0" w:afterAutospacing="0" w:line="480" w:lineRule="auto"/>
      </w:pPr>
      <w:r>
        <w:tab/>
      </w:r>
      <w:r w:rsidR="00746F23" w:rsidRPr="00746F23">
        <w:t>Alzheimer's disease (AD) is a progressive neurodegenerative disorder and a major global primary health issue of the 21st century with irreversible cognitive dysfunction. On the biological level, the pathogenesis of AD is essentially based on the genetic variants disrupting the normal protein homeostasis. Deterministic autosomal dominant mutations in the APP, PSEN1, and PSEN2 genes drive early-onset familial AD, whereas the presence of the APOE ε4 allele is the strongest genetic risk factor of the sporadic, late-onset form of the disease (Dominguez-</w:t>
      </w:r>
      <w:proofErr w:type="spellStart"/>
      <w:r w:rsidR="00746F23" w:rsidRPr="00746F23">
        <w:t>Gortaire</w:t>
      </w:r>
      <w:proofErr w:type="spellEnd"/>
      <w:r w:rsidR="00746F23" w:rsidRPr="00746F23">
        <w:t xml:space="preserve"> et al., 2025).</w:t>
      </w:r>
    </w:p>
    <w:p w14:paraId="179E2708" w14:textId="77777777" w:rsidR="004E4AC3" w:rsidRDefault="00746F23" w:rsidP="004E4AC3">
      <w:pPr>
        <w:pStyle w:val="NormalWeb"/>
        <w:spacing w:before="0" w:beforeAutospacing="0" w:after="0" w:afterAutospacing="0" w:line="480" w:lineRule="auto"/>
        <w:rPr>
          <w:lang w:val="en-GB"/>
        </w:rPr>
      </w:pPr>
      <w:r>
        <w:tab/>
      </w:r>
      <w:r w:rsidR="004E4AC3" w:rsidRPr="004E4AC3">
        <w:rPr>
          <w:lang w:val="en-GB"/>
        </w:rPr>
        <w:t>he fundamental chemical reactions that provide the basis of AD are the abnormal processing of neurological proteins. Particularly, the unnatural enzymatic breakdown of the transmembrane amyloid precursor protein by the beta- and gamma-secretases results in the production of insoluble amyloid-β peptides. The chemical aggregation of these peptides, in the extracellular space, forms toxic senile plaques. At the same time, the hyperphosphorylation of tau, a microtubule-associated protein, occurs due to an imbalance between the activity of the kinase and the phosphatase. This abnormal chemical response leads to the detachment of tau proteins from the neuronal cytoskeleton and self-assembly into intracellular neurofibrillary tangles, which essentially disrupt cellular transport systems (Dominguez-</w:t>
      </w:r>
      <w:proofErr w:type="spellStart"/>
      <w:r w:rsidR="004E4AC3" w:rsidRPr="004E4AC3">
        <w:rPr>
          <w:lang w:val="en-GB"/>
        </w:rPr>
        <w:t>Gortaire</w:t>
      </w:r>
      <w:proofErr w:type="spellEnd"/>
      <w:r w:rsidR="004E4AC3" w:rsidRPr="004E4AC3">
        <w:rPr>
          <w:lang w:val="en-GB"/>
        </w:rPr>
        <w:t xml:space="preserve"> et al., 2025).</w:t>
      </w:r>
    </w:p>
    <w:p w14:paraId="154B0F9C" w14:textId="5ACD78BF" w:rsidR="00B214C4" w:rsidRDefault="00B214C4" w:rsidP="004E4AC3">
      <w:pPr>
        <w:pStyle w:val="NormalWeb"/>
        <w:spacing w:before="0" w:beforeAutospacing="0" w:after="0" w:afterAutospacing="0" w:line="480" w:lineRule="auto"/>
        <w:jc w:val="center"/>
      </w:pPr>
      <w:r w:rsidRPr="00B214C4">
        <w:rPr>
          <w:rFonts w:eastAsia="Arial"/>
          <w:b/>
          <w:bCs/>
          <w:lang w:val="en-GB" w:eastAsia="en-GB"/>
        </w:rPr>
        <w:t>Physiological and Anatomical Disturbances</w:t>
      </w:r>
    </w:p>
    <w:p w14:paraId="203A2F2D" w14:textId="686F6A3A" w:rsidR="00746F23" w:rsidRDefault="00746F23" w:rsidP="00B214C4">
      <w:pPr>
        <w:pStyle w:val="NormalWeb"/>
        <w:spacing w:before="0" w:beforeAutospacing="0" w:after="0" w:afterAutospacing="0" w:line="480" w:lineRule="auto"/>
      </w:pPr>
      <w:r w:rsidRPr="00746F23">
        <w:t>These cascading chemical pathological conditions lead to disastrous anatomical and physiological changes. AD has a predictable and destructive spatial pathology, which is anatomically determined. The pathology of tau is typically located in the entorhinal cortex and the medial temporal lobe, specifically killing the hippocampus, which is the primary center of memory formation in the brain, before spreading into the more general cerebral cortex (</w:t>
      </w:r>
      <w:proofErr w:type="spellStart"/>
      <w:r w:rsidRPr="00746F23">
        <w:t>Aksman</w:t>
      </w:r>
      <w:proofErr w:type="spellEnd"/>
      <w:r w:rsidRPr="00746F23">
        <w:t xml:space="preserve"> et al., 2023). However, Amyloid-beta plaques are inclined to deposit early and extensively throughout the neocortex. The gross anatomy of the brain changes; severe cortical thinning, severe atrophy of the hippocampus, and a compensatory increase in the size of the cerebrospinal fluid-filled ventricles (</w:t>
      </w:r>
      <w:proofErr w:type="spellStart"/>
      <w:r w:rsidRPr="00746F23">
        <w:t>Aksman</w:t>
      </w:r>
      <w:proofErr w:type="spellEnd"/>
      <w:r w:rsidRPr="00746F23">
        <w:t xml:space="preserve"> et al., 2023).</w:t>
      </w:r>
    </w:p>
    <w:p w14:paraId="50C27FCD" w14:textId="7330A018" w:rsidR="00746F23" w:rsidRPr="00746F23" w:rsidRDefault="00746F23" w:rsidP="00B214C4">
      <w:pPr>
        <w:pStyle w:val="NormalWeb"/>
        <w:spacing w:before="0" w:beforeAutospacing="0" w:after="0" w:afterAutospacing="0" w:line="480" w:lineRule="auto"/>
      </w:pPr>
      <w:r>
        <w:tab/>
      </w:r>
      <w:r w:rsidRPr="00746F23">
        <w:t xml:space="preserve">Physiologically, the plaque and tangles build-up provokes the chronic neuroinflammation and oxidative stress, which significantly disrupts the normal cellular respiration and synaptic plasticity. Moreover, the massive microglial activation and </w:t>
      </w:r>
      <w:proofErr w:type="spellStart"/>
      <w:r w:rsidRPr="00746F23">
        <w:t>astrocytosis</w:t>
      </w:r>
      <w:proofErr w:type="spellEnd"/>
      <w:r w:rsidRPr="00746F23">
        <w:t xml:space="preserve"> induced by these pathological aggregates only make the neurotoxic environment worse. This long-lasting immune response catalyzes synaptic loss and impairs the blood-brain barrier, which reduces regional cerebral blood flow and deprives surviving neurons of essential metabolic resources (Dominguez-</w:t>
      </w:r>
      <w:proofErr w:type="spellStart"/>
      <w:r w:rsidRPr="00746F23">
        <w:t>Gortaire</w:t>
      </w:r>
      <w:proofErr w:type="spellEnd"/>
      <w:r w:rsidRPr="00746F23">
        <w:t xml:space="preserve"> et al., 2025). The most prominent physiological derailment is the degeneration of cholinergic pathways, which results in a colossal loss of the neurotransmitter acetylcholine, severely impairing the chemical signaling needed in basic cognitive processes.</w:t>
      </w:r>
    </w:p>
    <w:p w14:paraId="09DC0E49" w14:textId="5A1CB32D" w:rsidR="004E4AC3" w:rsidRDefault="004E4AC3" w:rsidP="004E4AC3">
      <w:pPr>
        <w:pStyle w:val="NormalWeb"/>
        <w:spacing w:before="0" w:beforeAutospacing="0" w:after="0" w:afterAutospacing="0" w:line="480" w:lineRule="auto"/>
        <w:jc w:val="center"/>
        <w:rPr>
          <w:b/>
          <w:bCs/>
          <w:lang w:val="en-GB"/>
        </w:rPr>
      </w:pPr>
      <w:r w:rsidRPr="004E4AC3">
        <w:rPr>
          <w:b/>
          <w:bCs/>
          <w:lang w:val="en-GB"/>
        </w:rPr>
        <w:t>Clinical Outcomes, Morbidity and Mortality</w:t>
      </w:r>
    </w:p>
    <w:p w14:paraId="6B8214FD" w14:textId="1FD6ADF3" w:rsidR="00746F23" w:rsidRDefault="00185A87" w:rsidP="00B214C4">
      <w:pPr>
        <w:pStyle w:val="NormalWeb"/>
        <w:spacing w:before="0" w:beforeAutospacing="0" w:after="0" w:afterAutospacing="0" w:line="480" w:lineRule="auto"/>
        <w:rPr>
          <w:lang w:val="en-GB"/>
        </w:rPr>
      </w:pPr>
      <w:r>
        <w:tab/>
      </w:r>
      <w:r w:rsidR="00746F23" w:rsidRPr="00746F23">
        <w:rPr>
          <w:lang w:val="en-GB"/>
        </w:rPr>
        <w:t xml:space="preserve">This biological and structural failure synthesis is directly linked to the tragic health outcomes witnessed in AD patients. In the short term, the focal lesion of the hippocampus is characterized by anterograde amnesia (loss of short-term memory) and spatial disorientation. The consequences on long-term health, however, are characterized by extreme morbidity and an extensive decrease in the quality of life of the patient. Once the anatomical injury diffuses throughout the cortex, patients experience aphasia (language impairment), apraxia (loss of motor skills), and other severe changes in </w:t>
      </w:r>
      <w:proofErr w:type="spellStart"/>
      <w:r w:rsidR="00746F23" w:rsidRPr="00746F23">
        <w:rPr>
          <w:lang w:val="en-GB"/>
        </w:rPr>
        <w:t>behavior</w:t>
      </w:r>
      <w:proofErr w:type="spellEnd"/>
      <w:r w:rsidR="00746F23" w:rsidRPr="00746F23">
        <w:rPr>
          <w:lang w:val="en-GB"/>
        </w:rPr>
        <w:t>, losing the ability to do basic activities of daily living and requiring constant care (Better, 2023). Moreover, such gradual worsening often adds serious neuropsychiatric symptoms, such as persistent agitation, paranoia, and hallucinations, which significantly reduce the remaining quality of life of the patient. This severe cognitive impairment is not only a heavy psychological, physical, and financial burden on the family caregiver but also the vast collateral morbidity of the disease (Better, 2023).</w:t>
      </w:r>
      <w:r w:rsidR="00746F23">
        <w:rPr>
          <w:lang w:val="en-GB"/>
        </w:rPr>
        <w:t xml:space="preserve"> </w:t>
      </w:r>
      <w:r w:rsidR="00746F23">
        <w:rPr>
          <w:lang w:val="en-GB"/>
        </w:rPr>
        <w:tab/>
      </w:r>
      <w:r w:rsidR="00746F23" w:rsidRPr="00746F23">
        <w:rPr>
          <w:lang w:val="en-GB"/>
        </w:rPr>
        <w:t>Finally, AD is a terminal disease. Death in AD is typically not due to the cognitive impairments themselves but rather due to the extreme physiological deterioration in the end terminal stages of the disease process. Since the structural damage disrupts the brain regions responsible to the basic autonomic functions such as swallowing, the patients have an increased risk of dysphagia. As a result, secondary physical complications, most of which are respiratory complications, such as aspiration pneumonia, malnutrition, and fatal systemic infections, are the most common causes of mortality (Better, 2023).</w:t>
      </w:r>
    </w:p>
    <w:p w14:paraId="66ED3A67" w14:textId="77777777" w:rsidR="00746F23" w:rsidRDefault="00746F23" w:rsidP="00B214C4">
      <w:pPr>
        <w:spacing w:line="480" w:lineRule="auto"/>
        <w:rPr>
          <w:rFonts w:ascii="Times New Roman" w:eastAsia="Times New Roman" w:hAnsi="Times New Roman" w:cs="Times New Roman"/>
          <w:sz w:val="24"/>
          <w:szCs w:val="24"/>
          <w:lang w:eastAsia="en-US"/>
        </w:rPr>
      </w:pPr>
      <w:r>
        <w:br w:type="page"/>
      </w:r>
    </w:p>
    <w:p w14:paraId="17E9469B" w14:textId="786C1EF9" w:rsidR="00185A87" w:rsidRPr="00185A87" w:rsidRDefault="00185A87" w:rsidP="00B214C4">
      <w:pPr>
        <w:pStyle w:val="NormalWeb"/>
        <w:spacing w:before="0" w:beforeAutospacing="0" w:after="0" w:afterAutospacing="0" w:line="480" w:lineRule="auto"/>
        <w:jc w:val="center"/>
        <w:rPr>
          <w:b/>
          <w:bCs/>
        </w:rPr>
      </w:pPr>
      <w:r w:rsidRPr="00185A87">
        <w:rPr>
          <w:b/>
          <w:bCs/>
        </w:rPr>
        <w:t>References</w:t>
      </w:r>
    </w:p>
    <w:p w14:paraId="6B46775B" w14:textId="77777777" w:rsidR="00185A87" w:rsidRPr="00185A87" w:rsidRDefault="00185A87" w:rsidP="00B214C4">
      <w:pPr>
        <w:pStyle w:val="NormalWeb"/>
        <w:spacing w:before="0" w:beforeAutospacing="0" w:after="0" w:afterAutospacing="0" w:line="480" w:lineRule="auto"/>
        <w:ind w:left="720" w:hanging="720"/>
      </w:pPr>
      <w:proofErr w:type="spellStart"/>
      <w:r w:rsidRPr="00185A87">
        <w:t>Aksman</w:t>
      </w:r>
      <w:proofErr w:type="spellEnd"/>
      <w:r w:rsidRPr="00185A87">
        <w:t xml:space="preserve">, L. M., Oxtoby, N. P., Scelsi, M. A., Wijeratne, P. A., Young, A. L., Alves, I. L., ... &amp; ADNI. (2023). A data-driven study of Alzheimer's disease related amyloid and tau pathology progression. </w:t>
      </w:r>
      <w:r w:rsidRPr="00185A87">
        <w:rPr>
          <w:i/>
          <w:iCs/>
        </w:rPr>
        <w:t>Brain, 146</w:t>
      </w:r>
      <w:r w:rsidRPr="00185A87">
        <w:t xml:space="preserve">(12), 4935-4948. </w:t>
      </w:r>
      <w:hyperlink r:id="rId8" w:tgtFrame="_blank" w:history="1">
        <w:r w:rsidRPr="00185A87">
          <w:rPr>
            <w:rStyle w:val="Hyperlink"/>
            <w:color w:val="auto"/>
          </w:rPr>
          <w:t>https://doi.org/10.1093/brain/awad232</w:t>
        </w:r>
      </w:hyperlink>
    </w:p>
    <w:p w14:paraId="095DD01A" w14:textId="77777777" w:rsidR="00185A87" w:rsidRPr="00185A87" w:rsidRDefault="00185A87" w:rsidP="00B214C4">
      <w:pPr>
        <w:pStyle w:val="NormalWeb"/>
        <w:spacing w:before="0" w:beforeAutospacing="0" w:after="0" w:afterAutospacing="0" w:line="480" w:lineRule="auto"/>
        <w:ind w:left="720" w:hanging="720"/>
      </w:pPr>
      <w:r w:rsidRPr="00185A87">
        <w:t xml:space="preserve">Better, M. A. (2023). Alzheimer’s disease facts and figures. </w:t>
      </w:r>
      <w:proofErr w:type="spellStart"/>
      <w:r w:rsidRPr="00185A87">
        <w:rPr>
          <w:i/>
          <w:iCs/>
        </w:rPr>
        <w:t>Alzheimers</w:t>
      </w:r>
      <w:proofErr w:type="spellEnd"/>
      <w:r w:rsidRPr="00185A87">
        <w:rPr>
          <w:i/>
          <w:iCs/>
        </w:rPr>
        <w:t xml:space="preserve"> Dement, 19</w:t>
      </w:r>
      <w:r w:rsidRPr="00185A87">
        <w:t>(4), 1598-1695.</w:t>
      </w:r>
    </w:p>
    <w:p w14:paraId="6F053A9A" w14:textId="77777777" w:rsidR="00185A87" w:rsidRPr="00185A87" w:rsidRDefault="00185A87" w:rsidP="00B214C4">
      <w:pPr>
        <w:pStyle w:val="NormalWeb"/>
        <w:spacing w:before="0" w:beforeAutospacing="0" w:after="0" w:afterAutospacing="0" w:line="480" w:lineRule="auto"/>
        <w:ind w:left="720" w:hanging="720"/>
      </w:pPr>
      <w:r w:rsidRPr="00185A87">
        <w:t>Dominguez-</w:t>
      </w:r>
      <w:proofErr w:type="spellStart"/>
      <w:r w:rsidRPr="00185A87">
        <w:t>Gortaire</w:t>
      </w:r>
      <w:proofErr w:type="spellEnd"/>
      <w:r w:rsidRPr="00185A87">
        <w:t xml:space="preserve">, J., Ruiz, A., Porto-Pazos, A. B., Rodriguez-Yanez, S., &amp; Cedron, F. (2025). Alzheimer’s Disease: Exploring Pathophysiological Hypotheses and the Role of Machine Learning in Drug Discovery. </w:t>
      </w:r>
      <w:r w:rsidRPr="00185A87">
        <w:rPr>
          <w:i/>
          <w:iCs/>
        </w:rPr>
        <w:t>International Journal of Molecular Sciences, 26</w:t>
      </w:r>
      <w:r w:rsidRPr="00185A87">
        <w:t xml:space="preserve">(3), 1004. </w:t>
      </w:r>
      <w:hyperlink r:id="rId9" w:tgtFrame="_blank" w:history="1">
        <w:r w:rsidRPr="00185A87">
          <w:rPr>
            <w:rStyle w:val="Hyperlink"/>
            <w:color w:val="auto"/>
          </w:rPr>
          <w:t>https://doi.org/10.3390/ijms26031004</w:t>
        </w:r>
      </w:hyperlink>
    </w:p>
    <w:p w14:paraId="6BB0157A" w14:textId="015D5C99" w:rsidR="00880D0E" w:rsidRPr="00185A87" w:rsidRDefault="00376F28" w:rsidP="00B214C4">
      <w:pPr>
        <w:spacing w:line="480" w:lineRule="auto"/>
        <w:ind w:left="720" w:hanging="720"/>
        <w:rPr>
          <w:rFonts w:ascii="Times New Roman" w:hAnsi="Times New Roman" w:cs="Times New Roman"/>
          <w:sz w:val="24"/>
          <w:szCs w:val="24"/>
        </w:rPr>
      </w:pPr>
      <w:r w:rsidRPr="00185A87">
        <w:rPr>
          <w:rFonts w:ascii="Times New Roman" w:hAnsi="Times New Roman" w:cs="Times New Roman"/>
          <w:sz w:val="24"/>
          <w:szCs w:val="24"/>
        </w:rPr>
        <w:br/>
      </w:r>
    </w:p>
    <w:sectPr w:rsidR="00880D0E" w:rsidRPr="00185A87">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0D190" w14:textId="77777777" w:rsidR="009852BC" w:rsidRDefault="009852BC">
      <w:pPr>
        <w:spacing w:line="240" w:lineRule="auto"/>
      </w:pPr>
      <w:r>
        <w:separator/>
      </w:r>
    </w:p>
  </w:endnote>
  <w:endnote w:type="continuationSeparator" w:id="0">
    <w:p w14:paraId="0FC49070" w14:textId="77777777" w:rsidR="009852BC" w:rsidRDefault="009852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FCF16A9-4ED6-4E27-AC39-88E56492CF34}"/>
  </w:font>
  <w:font w:name="Calibri">
    <w:panose1 w:val="020F0502020204030204"/>
    <w:charset w:val="00"/>
    <w:family w:val="swiss"/>
    <w:pitch w:val="variable"/>
    <w:sig w:usb0="E4002EFF" w:usb1="C000247B" w:usb2="00000009" w:usb3="00000000" w:csb0="000001FF" w:csb1="00000000"/>
    <w:embedRegular r:id="rId2" w:fontKey="{D9DA376A-ACB5-4A2A-AAF6-4E024699079D}"/>
  </w:font>
  <w:font w:name="Cambria">
    <w:panose1 w:val="02040503050406030204"/>
    <w:charset w:val="00"/>
    <w:family w:val="roman"/>
    <w:pitch w:val="variable"/>
    <w:sig w:usb0="E00006FF" w:usb1="420024FF" w:usb2="02000000" w:usb3="00000000" w:csb0="0000019F" w:csb1="00000000"/>
    <w:embedRegular r:id="rId3" w:fontKey="{65B0F910-C3EA-4178-86A3-44E6C7A669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297F2" w14:textId="77777777" w:rsidR="009852BC" w:rsidRDefault="009852BC">
      <w:pPr>
        <w:spacing w:line="240" w:lineRule="auto"/>
      </w:pPr>
      <w:r>
        <w:separator/>
      </w:r>
    </w:p>
  </w:footnote>
  <w:footnote w:type="continuationSeparator" w:id="0">
    <w:p w14:paraId="08DC48CD" w14:textId="77777777" w:rsidR="009852BC" w:rsidRDefault="009852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2386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F"/>
    <w:multiLevelType w:val="hybridMultilevel"/>
    <w:tmpl w:val="D47A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11D92"/>
    <w:multiLevelType w:val="multilevel"/>
    <w:tmpl w:val="30A6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A122B1"/>
    <w:multiLevelType w:val="multilevel"/>
    <w:tmpl w:val="2628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B44F0E"/>
    <w:multiLevelType w:val="multilevel"/>
    <w:tmpl w:val="414C7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E124FC"/>
    <w:multiLevelType w:val="multilevel"/>
    <w:tmpl w:val="28E8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127439">
    <w:abstractNumId w:val="2"/>
  </w:num>
  <w:num w:numId="2" w16cid:durableId="445270651">
    <w:abstractNumId w:val="6"/>
  </w:num>
  <w:num w:numId="3" w16cid:durableId="834106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1442939">
    <w:abstractNumId w:val="3"/>
  </w:num>
  <w:num w:numId="5" w16cid:durableId="496265860">
    <w:abstractNumId w:val="11"/>
  </w:num>
  <w:num w:numId="6" w16cid:durableId="942953367">
    <w:abstractNumId w:val="1"/>
  </w:num>
  <w:num w:numId="7" w16cid:durableId="86116933">
    <w:abstractNumId w:val="5"/>
  </w:num>
  <w:num w:numId="8" w16cid:durableId="279537197">
    <w:abstractNumId w:val="0"/>
  </w:num>
  <w:num w:numId="9" w16cid:durableId="563685106">
    <w:abstractNumId w:val="7"/>
  </w:num>
  <w:num w:numId="10" w16cid:durableId="687028887">
    <w:abstractNumId w:val="9"/>
  </w:num>
  <w:num w:numId="11" w16cid:durableId="1909413272">
    <w:abstractNumId w:val="8"/>
  </w:num>
  <w:num w:numId="12" w16cid:durableId="6231958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1EFB"/>
    <w:rsid w:val="0002386A"/>
    <w:rsid w:val="0002393F"/>
    <w:rsid w:val="00025392"/>
    <w:rsid w:val="00025755"/>
    <w:rsid w:val="0002628D"/>
    <w:rsid w:val="00036D9D"/>
    <w:rsid w:val="0005012B"/>
    <w:rsid w:val="00052667"/>
    <w:rsid w:val="000623C9"/>
    <w:rsid w:val="00084B79"/>
    <w:rsid w:val="000921EB"/>
    <w:rsid w:val="000A06F7"/>
    <w:rsid w:val="000B04AE"/>
    <w:rsid w:val="000B1805"/>
    <w:rsid w:val="000B2A5E"/>
    <w:rsid w:val="000B57C9"/>
    <w:rsid w:val="000C0072"/>
    <w:rsid w:val="000C772B"/>
    <w:rsid w:val="000E0558"/>
    <w:rsid w:val="000E4D8D"/>
    <w:rsid w:val="000F2434"/>
    <w:rsid w:val="0010731F"/>
    <w:rsid w:val="00115372"/>
    <w:rsid w:val="00122A80"/>
    <w:rsid w:val="00146AC4"/>
    <w:rsid w:val="00147A36"/>
    <w:rsid w:val="00152D5B"/>
    <w:rsid w:val="00156F1A"/>
    <w:rsid w:val="001604FC"/>
    <w:rsid w:val="001629CB"/>
    <w:rsid w:val="00163E94"/>
    <w:rsid w:val="00165338"/>
    <w:rsid w:val="0018030E"/>
    <w:rsid w:val="00185A87"/>
    <w:rsid w:val="001924CA"/>
    <w:rsid w:val="001B081A"/>
    <w:rsid w:val="001C0B76"/>
    <w:rsid w:val="001C2F46"/>
    <w:rsid w:val="001C6E9C"/>
    <w:rsid w:val="001C7C73"/>
    <w:rsid w:val="001D1491"/>
    <w:rsid w:val="001E06CB"/>
    <w:rsid w:val="001F34EA"/>
    <w:rsid w:val="001F6420"/>
    <w:rsid w:val="001F74BD"/>
    <w:rsid w:val="00213B67"/>
    <w:rsid w:val="00226B02"/>
    <w:rsid w:val="00227C5C"/>
    <w:rsid w:val="00255E40"/>
    <w:rsid w:val="00262D73"/>
    <w:rsid w:val="00271D0C"/>
    <w:rsid w:val="00296B11"/>
    <w:rsid w:val="002A26CB"/>
    <w:rsid w:val="002A36B0"/>
    <w:rsid w:val="002B53AA"/>
    <w:rsid w:val="002C5BF0"/>
    <w:rsid w:val="002C7F12"/>
    <w:rsid w:val="002D172A"/>
    <w:rsid w:val="002D7E39"/>
    <w:rsid w:val="002E2E6C"/>
    <w:rsid w:val="002E579F"/>
    <w:rsid w:val="002F7683"/>
    <w:rsid w:val="00315207"/>
    <w:rsid w:val="003228C2"/>
    <w:rsid w:val="003419A2"/>
    <w:rsid w:val="003526B8"/>
    <w:rsid w:val="003565B3"/>
    <w:rsid w:val="00376F28"/>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67A26"/>
    <w:rsid w:val="00473393"/>
    <w:rsid w:val="004738BB"/>
    <w:rsid w:val="00482390"/>
    <w:rsid w:val="004939B3"/>
    <w:rsid w:val="00495097"/>
    <w:rsid w:val="004C02E3"/>
    <w:rsid w:val="004C068C"/>
    <w:rsid w:val="004C2517"/>
    <w:rsid w:val="004C50BC"/>
    <w:rsid w:val="004D3173"/>
    <w:rsid w:val="004D37A2"/>
    <w:rsid w:val="004D76A8"/>
    <w:rsid w:val="004E0742"/>
    <w:rsid w:val="004E4AC3"/>
    <w:rsid w:val="004E74D9"/>
    <w:rsid w:val="005026B8"/>
    <w:rsid w:val="00517289"/>
    <w:rsid w:val="00521509"/>
    <w:rsid w:val="005406C0"/>
    <w:rsid w:val="0054283E"/>
    <w:rsid w:val="00545498"/>
    <w:rsid w:val="00546214"/>
    <w:rsid w:val="00546C90"/>
    <w:rsid w:val="005547B4"/>
    <w:rsid w:val="00557F5D"/>
    <w:rsid w:val="00562AC5"/>
    <w:rsid w:val="00564648"/>
    <w:rsid w:val="00584F49"/>
    <w:rsid w:val="005851D1"/>
    <w:rsid w:val="005905D2"/>
    <w:rsid w:val="00594F6E"/>
    <w:rsid w:val="005A18EC"/>
    <w:rsid w:val="005B39C3"/>
    <w:rsid w:val="005B3E1B"/>
    <w:rsid w:val="005C7A93"/>
    <w:rsid w:val="005D4D32"/>
    <w:rsid w:val="005E5754"/>
    <w:rsid w:val="005F1592"/>
    <w:rsid w:val="0061004C"/>
    <w:rsid w:val="00653F76"/>
    <w:rsid w:val="006553F8"/>
    <w:rsid w:val="00665468"/>
    <w:rsid w:val="0067122F"/>
    <w:rsid w:val="00682762"/>
    <w:rsid w:val="006907C7"/>
    <w:rsid w:val="006A40D4"/>
    <w:rsid w:val="006B3D44"/>
    <w:rsid w:val="006C42CE"/>
    <w:rsid w:val="006C5923"/>
    <w:rsid w:val="006D6E3F"/>
    <w:rsid w:val="006E0136"/>
    <w:rsid w:val="006E2406"/>
    <w:rsid w:val="006F0DDC"/>
    <w:rsid w:val="00705271"/>
    <w:rsid w:val="007101BD"/>
    <w:rsid w:val="0072534C"/>
    <w:rsid w:val="00730B9F"/>
    <w:rsid w:val="00735F07"/>
    <w:rsid w:val="00742AF7"/>
    <w:rsid w:val="00745426"/>
    <w:rsid w:val="00746F23"/>
    <w:rsid w:val="00762EBB"/>
    <w:rsid w:val="0078379F"/>
    <w:rsid w:val="007B28BD"/>
    <w:rsid w:val="007C3D28"/>
    <w:rsid w:val="007C64A9"/>
    <w:rsid w:val="007C6672"/>
    <w:rsid w:val="007D08E4"/>
    <w:rsid w:val="007D4F35"/>
    <w:rsid w:val="007D78FE"/>
    <w:rsid w:val="007E0D13"/>
    <w:rsid w:val="007F24F1"/>
    <w:rsid w:val="00801466"/>
    <w:rsid w:val="0080504C"/>
    <w:rsid w:val="008333DF"/>
    <w:rsid w:val="00836C2D"/>
    <w:rsid w:val="008425C9"/>
    <w:rsid w:val="00845CE7"/>
    <w:rsid w:val="0085667F"/>
    <w:rsid w:val="00880D0E"/>
    <w:rsid w:val="00885DAE"/>
    <w:rsid w:val="008863A7"/>
    <w:rsid w:val="008B40AF"/>
    <w:rsid w:val="008C64E2"/>
    <w:rsid w:val="008D091E"/>
    <w:rsid w:val="008D4659"/>
    <w:rsid w:val="008E23F2"/>
    <w:rsid w:val="008F10C7"/>
    <w:rsid w:val="008F5458"/>
    <w:rsid w:val="008F65E7"/>
    <w:rsid w:val="008F72CC"/>
    <w:rsid w:val="009038AE"/>
    <w:rsid w:val="0092375F"/>
    <w:rsid w:val="00923BD1"/>
    <w:rsid w:val="00925ED9"/>
    <w:rsid w:val="0096232F"/>
    <w:rsid w:val="009852BC"/>
    <w:rsid w:val="009A207F"/>
    <w:rsid w:val="009A64DC"/>
    <w:rsid w:val="009C2CF0"/>
    <w:rsid w:val="009D4C12"/>
    <w:rsid w:val="009E218E"/>
    <w:rsid w:val="009E4EDE"/>
    <w:rsid w:val="00A06B4B"/>
    <w:rsid w:val="00A12F29"/>
    <w:rsid w:val="00A26522"/>
    <w:rsid w:val="00A32FD4"/>
    <w:rsid w:val="00A74D61"/>
    <w:rsid w:val="00A87F37"/>
    <w:rsid w:val="00A94489"/>
    <w:rsid w:val="00A974F7"/>
    <w:rsid w:val="00AB33A6"/>
    <w:rsid w:val="00AC3F60"/>
    <w:rsid w:val="00AC3FAB"/>
    <w:rsid w:val="00AC6428"/>
    <w:rsid w:val="00AC7A5E"/>
    <w:rsid w:val="00AD14BA"/>
    <w:rsid w:val="00AD2F9F"/>
    <w:rsid w:val="00AD4D1A"/>
    <w:rsid w:val="00AE6D0D"/>
    <w:rsid w:val="00AF4C3C"/>
    <w:rsid w:val="00B04998"/>
    <w:rsid w:val="00B04A90"/>
    <w:rsid w:val="00B134F8"/>
    <w:rsid w:val="00B214C4"/>
    <w:rsid w:val="00B23B54"/>
    <w:rsid w:val="00B2702E"/>
    <w:rsid w:val="00B3152D"/>
    <w:rsid w:val="00B50D75"/>
    <w:rsid w:val="00B67155"/>
    <w:rsid w:val="00B82144"/>
    <w:rsid w:val="00B87607"/>
    <w:rsid w:val="00B878EB"/>
    <w:rsid w:val="00B94940"/>
    <w:rsid w:val="00BA1C4B"/>
    <w:rsid w:val="00BA4520"/>
    <w:rsid w:val="00BA774B"/>
    <w:rsid w:val="00BB6AE1"/>
    <w:rsid w:val="00BC1BC3"/>
    <w:rsid w:val="00BC3E74"/>
    <w:rsid w:val="00BC6A5A"/>
    <w:rsid w:val="00BD1526"/>
    <w:rsid w:val="00BF483C"/>
    <w:rsid w:val="00BF7431"/>
    <w:rsid w:val="00C34946"/>
    <w:rsid w:val="00C36D67"/>
    <w:rsid w:val="00C51EF8"/>
    <w:rsid w:val="00C611CB"/>
    <w:rsid w:val="00C80E7D"/>
    <w:rsid w:val="00C84D05"/>
    <w:rsid w:val="00C85640"/>
    <w:rsid w:val="00C93CC6"/>
    <w:rsid w:val="00C942A7"/>
    <w:rsid w:val="00CA18AC"/>
    <w:rsid w:val="00CA1DEF"/>
    <w:rsid w:val="00CA6A16"/>
    <w:rsid w:val="00CB27F1"/>
    <w:rsid w:val="00CB4EE5"/>
    <w:rsid w:val="00CB5F84"/>
    <w:rsid w:val="00CC4140"/>
    <w:rsid w:val="00CD4CBC"/>
    <w:rsid w:val="00CD6603"/>
    <w:rsid w:val="00CE076C"/>
    <w:rsid w:val="00CF4C32"/>
    <w:rsid w:val="00D00FD8"/>
    <w:rsid w:val="00D0260F"/>
    <w:rsid w:val="00D1683A"/>
    <w:rsid w:val="00D40F72"/>
    <w:rsid w:val="00D631E1"/>
    <w:rsid w:val="00D657AB"/>
    <w:rsid w:val="00D7201B"/>
    <w:rsid w:val="00D74F52"/>
    <w:rsid w:val="00D750E4"/>
    <w:rsid w:val="00D77A8A"/>
    <w:rsid w:val="00D77EF5"/>
    <w:rsid w:val="00D832DD"/>
    <w:rsid w:val="00D95C31"/>
    <w:rsid w:val="00DA7ED3"/>
    <w:rsid w:val="00DC39BF"/>
    <w:rsid w:val="00DD5EB3"/>
    <w:rsid w:val="00DE4E0D"/>
    <w:rsid w:val="00DF02A5"/>
    <w:rsid w:val="00E02E9A"/>
    <w:rsid w:val="00E0486B"/>
    <w:rsid w:val="00E338BF"/>
    <w:rsid w:val="00E86882"/>
    <w:rsid w:val="00E915E8"/>
    <w:rsid w:val="00EB5A2D"/>
    <w:rsid w:val="00EB62C4"/>
    <w:rsid w:val="00EC3C85"/>
    <w:rsid w:val="00EC53CC"/>
    <w:rsid w:val="00ED361B"/>
    <w:rsid w:val="00ED3C85"/>
    <w:rsid w:val="00EF46EA"/>
    <w:rsid w:val="00F062B0"/>
    <w:rsid w:val="00F103AF"/>
    <w:rsid w:val="00F12F2D"/>
    <w:rsid w:val="00F23353"/>
    <w:rsid w:val="00F358C1"/>
    <w:rsid w:val="00F40073"/>
    <w:rsid w:val="00F5490C"/>
    <w:rsid w:val="00F559B2"/>
    <w:rsid w:val="00F64D0E"/>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 w:type="paragraph" w:styleId="BalloonText">
    <w:name w:val="Balloon Text"/>
    <w:basedOn w:val="Normal"/>
    <w:link w:val="BalloonTextChar"/>
    <w:uiPriority w:val="99"/>
    <w:semiHidden/>
    <w:unhideWhenUsed/>
    <w:rsid w:val="00D40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72"/>
    <w:rPr>
      <w:rFonts w:ascii="Segoe UI" w:hAnsi="Segoe UI" w:cs="Segoe UI"/>
      <w:sz w:val="18"/>
      <w:szCs w:val="18"/>
    </w:rPr>
  </w:style>
  <w:style w:type="character" w:styleId="UnresolvedMention">
    <w:name w:val="Unresolved Mention"/>
    <w:basedOn w:val="DefaultParagraphFont"/>
    <w:uiPriority w:val="99"/>
    <w:semiHidden/>
    <w:unhideWhenUsed/>
    <w:rsid w:val="004C2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93/brain/awad23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3390/ijms2603100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SS</cp:lastModifiedBy>
  <cp:revision>11</cp:revision>
  <dcterms:created xsi:type="dcterms:W3CDTF">2026-05-04T13:55:00Z</dcterms:created>
  <dcterms:modified xsi:type="dcterms:W3CDTF">2026-05-04T14:20:00Z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