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B21DEA" w:rsidP="00B21DEA" w14:paraId="7E22DE6B" w14:textId="77777777">
      <w:pPr>
        <w:spacing w:line="480" w:lineRule="auto"/>
      </w:pPr>
    </w:p>
    <w:p w:rsidR="00B21DEA" w:rsidP="00B21DEA" w14:paraId="6432C7D3" w14:textId="77777777">
      <w:pPr>
        <w:spacing w:line="480" w:lineRule="auto"/>
      </w:pPr>
    </w:p>
    <w:p w:rsidR="00B21DEA" w:rsidP="00B21DEA" w14:paraId="35DACAB4" w14:textId="77777777">
      <w:pPr>
        <w:spacing w:line="480" w:lineRule="auto"/>
      </w:pPr>
    </w:p>
    <w:p w:rsidR="00B21DEA" w:rsidP="00B21DEA" w14:paraId="68F4DCA7" w14:textId="77777777">
      <w:pPr>
        <w:spacing w:line="480" w:lineRule="auto"/>
      </w:pPr>
    </w:p>
    <w:p w:rsidR="00B21DEA" w:rsidP="00B21DEA" w14:paraId="6E80F2D6" w14:textId="77777777">
      <w:pPr>
        <w:spacing w:line="480" w:lineRule="auto"/>
      </w:pPr>
    </w:p>
    <w:p w:rsidR="00B21DEA" w:rsidP="00B21DEA" w14:paraId="1ABBAA21" w14:textId="77777777">
      <w:pPr>
        <w:spacing w:line="480" w:lineRule="auto"/>
      </w:pPr>
    </w:p>
    <w:p w:rsidR="00B21DEA" w:rsidP="00B21DEA" w14:paraId="2C7A8630" w14:textId="77777777">
      <w:pPr>
        <w:spacing w:line="480" w:lineRule="auto"/>
        <w:jc w:val="center"/>
      </w:pPr>
    </w:p>
    <w:p w:rsidR="00B21DEA" w:rsidP="00B21DEA" w14:paraId="26A4379D" w14:textId="77777777">
      <w:pPr>
        <w:spacing w:after="200" w:line="480" w:lineRule="auto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Question #2: Reflection Essay</w:t>
      </w:r>
    </w:p>
    <w:p w:rsidR="00B21DEA" w:rsidP="00B21DEA" w14:paraId="41E13B7B" w14:textId="77777777">
      <w:pPr>
        <w:spacing w:line="480" w:lineRule="auto"/>
        <w:jc w:val="center"/>
      </w:pPr>
    </w:p>
    <w:p w:rsidR="00B21DEA" w:rsidRPr="00B21DEA" w:rsidP="00B21DEA" w14:paraId="78B3AC21" w14:textId="7777777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21DEA">
        <w:rPr>
          <w:rFonts w:ascii="Arial" w:hAnsi="Arial" w:cs="Arial"/>
          <w:sz w:val="24"/>
          <w:szCs w:val="24"/>
        </w:rPr>
        <w:t>Name</w:t>
      </w:r>
    </w:p>
    <w:p w:rsidR="00B21DEA" w:rsidRPr="00B21DEA" w:rsidP="00B21DEA" w14:paraId="1FDF7503" w14:textId="7777777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21DEA">
        <w:rPr>
          <w:rFonts w:ascii="Arial" w:hAnsi="Arial" w:cs="Arial"/>
          <w:sz w:val="24"/>
          <w:szCs w:val="24"/>
        </w:rPr>
        <w:t>University</w:t>
      </w:r>
    </w:p>
    <w:p w:rsidR="00B21DEA" w:rsidRPr="00B21DEA" w:rsidP="00B21DEA" w14:paraId="5A98B3DA" w14:textId="7777777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21DEA">
        <w:rPr>
          <w:rFonts w:ascii="Arial" w:hAnsi="Arial" w:cs="Arial"/>
          <w:sz w:val="24"/>
          <w:szCs w:val="24"/>
        </w:rPr>
        <w:t>Course Name</w:t>
      </w:r>
    </w:p>
    <w:p w:rsidR="00B21DEA" w:rsidRPr="00B21DEA" w:rsidP="00B21DEA" w14:paraId="2F38A224" w14:textId="7777777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21DEA">
        <w:rPr>
          <w:rFonts w:ascii="Arial" w:hAnsi="Arial" w:cs="Arial"/>
          <w:sz w:val="24"/>
          <w:szCs w:val="24"/>
        </w:rPr>
        <w:t>Instructor Name</w:t>
      </w:r>
    </w:p>
    <w:p w:rsidR="00B21DEA" w:rsidRPr="00B21DEA" w:rsidP="00B21DEA" w14:paraId="2AB100CB" w14:textId="7777777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21DEA">
        <w:rPr>
          <w:rFonts w:ascii="Arial" w:hAnsi="Arial" w:cs="Arial"/>
          <w:sz w:val="24"/>
          <w:szCs w:val="24"/>
        </w:rPr>
        <w:t>Date</w:t>
      </w:r>
    </w:p>
    <w:p w:rsidR="00B21DEA" w:rsidP="00B21DEA" w14:paraId="63782AAF" w14:textId="77777777">
      <w:pPr>
        <w:spacing w:line="480" w:lineRule="auto"/>
        <w:jc w:val="center"/>
      </w:pPr>
    </w:p>
    <w:p w:rsidR="00B21DEA" w:rsidP="00B21DEA" w14:paraId="140A6B98" w14:textId="77777777">
      <w:pPr>
        <w:spacing w:line="480" w:lineRule="auto"/>
        <w:rPr>
          <w:b/>
          <w:bCs/>
        </w:rPr>
      </w:pPr>
      <w:r>
        <w:rPr>
          <w:b/>
          <w:bCs/>
        </w:rPr>
        <w:br w:type="page"/>
      </w:r>
    </w:p>
    <w:p w:rsidR="00C6719A" w14:paraId="7515ACFE" w14:textId="77777777">
      <w:pPr>
        <w:spacing w:after="200" w:line="240" w:lineRule="exact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Question #2: Reflection Essay</w:t>
      </w:r>
    </w:p>
    <w:p w:rsidR="00C6719A" w:rsidP="00EE5176" w14:paraId="5B9A7506" w14:textId="77777777">
      <w:pPr>
        <w:spacing w:before="180" w:after="60" w:line="240" w:lineRule="exact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Introduction: Course Assessment</w:t>
      </w:r>
    </w:p>
    <w:p w:rsidR="00C6719A" w:rsidP="00EE5176" w14:paraId="4F883E9F" w14:textId="177AC78D">
      <w:pPr>
        <w:spacing w:after="120" w:line="240" w:lineRule="exact"/>
        <w:ind w:firstLine="720"/>
      </w:pPr>
      <w:r w:rsidRPr="00B21DEA">
        <w:rPr>
          <w:rFonts w:ascii="Arial" w:eastAsia="Arial" w:hAnsi="Arial" w:cs="Arial"/>
          <w:sz w:val="24"/>
          <w:szCs w:val="24"/>
        </w:rPr>
        <w:t xml:space="preserve">My initial impressions of Management and Leadership included organizational theory as something remote, in terms of its definitions, frameworks, and case studies of other </w:t>
      </w:r>
      <w:r w:rsidRPr="00B21DEA">
        <w:rPr>
          <w:rFonts w:ascii="Arial" w:eastAsia="Arial" w:hAnsi="Arial" w:cs="Arial"/>
          <w:sz w:val="24"/>
          <w:szCs w:val="24"/>
        </w:rPr>
        <w:t>people. One</w:t>
      </w:r>
      <w:r w:rsidRPr="00B21DEA">
        <w:rPr>
          <w:rFonts w:ascii="Arial" w:eastAsia="Arial" w:hAnsi="Arial" w:cs="Arial"/>
          <w:sz w:val="24"/>
          <w:szCs w:val="24"/>
        </w:rPr>
        <w:t xml:space="preserve"> thing that I never expected was to be personally disoriented by the </w:t>
      </w:r>
      <w:r w:rsidRPr="00B21DEA">
        <w:rPr>
          <w:rFonts w:ascii="Arial" w:eastAsia="Arial" w:hAnsi="Arial" w:cs="Arial"/>
          <w:sz w:val="24"/>
          <w:szCs w:val="24"/>
        </w:rPr>
        <w:t>course. The</w:t>
      </w:r>
      <w:r w:rsidRPr="00B21DEA">
        <w:rPr>
          <w:rFonts w:ascii="Arial" w:eastAsia="Arial" w:hAnsi="Arial" w:cs="Arial"/>
          <w:sz w:val="24"/>
          <w:szCs w:val="24"/>
        </w:rPr>
        <w:t xml:space="preserve"> Four Tendencies quiz, however, identified me as a Rebel (Rubin, n.d.), and the Do It Scared assessment revealed to me my own tendencies to procrastinate before I could tell anyone </w:t>
      </w:r>
      <w:r w:rsidRPr="00B21DEA">
        <w:rPr>
          <w:rFonts w:ascii="Arial" w:eastAsia="Arial" w:hAnsi="Arial" w:cs="Arial"/>
          <w:sz w:val="24"/>
          <w:szCs w:val="24"/>
        </w:rPr>
        <w:t>else. That</w:t>
      </w:r>
      <w:r w:rsidRPr="00B21DEA">
        <w:rPr>
          <w:rFonts w:ascii="Arial" w:eastAsia="Arial" w:hAnsi="Arial" w:cs="Arial"/>
          <w:sz w:val="24"/>
          <w:szCs w:val="24"/>
        </w:rPr>
        <w:t xml:space="preserve"> sequence was very unexpected of me.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21DEA">
        <w:rPr>
          <w:rFonts w:ascii="Arial" w:eastAsia="Arial" w:hAnsi="Arial" w:cs="Arial"/>
          <w:sz w:val="24"/>
          <w:szCs w:val="24"/>
        </w:rPr>
        <w:t>This</w:t>
      </w:r>
      <w:r w:rsidRPr="00B21DEA">
        <w:rPr>
          <w:rFonts w:ascii="Arial" w:eastAsia="Arial" w:hAnsi="Arial" w:cs="Arial"/>
          <w:sz w:val="24"/>
          <w:szCs w:val="24"/>
        </w:rPr>
        <w:t xml:space="preserve"> was not something to be wanting because, at times, I could not give full attendance during the simulation </w:t>
      </w:r>
      <w:r w:rsidRPr="00B21DEA">
        <w:rPr>
          <w:rFonts w:ascii="Arial" w:eastAsia="Arial" w:hAnsi="Arial" w:cs="Arial"/>
          <w:sz w:val="24"/>
          <w:szCs w:val="24"/>
        </w:rPr>
        <w:t>work. To</w:t>
      </w:r>
      <w:r w:rsidRPr="00B21DEA">
        <w:rPr>
          <w:rFonts w:ascii="Arial" w:eastAsia="Arial" w:hAnsi="Arial" w:cs="Arial"/>
          <w:sz w:val="24"/>
          <w:szCs w:val="24"/>
        </w:rPr>
        <w:t xml:space="preserve"> implement in the future, I would propose a short, guided debrief immediately after simulations so quieter participants can make surface-level observations that will be lost in the chaos of real-time</w:t>
      </w:r>
      <w:r w:rsidR="00000000">
        <w:rPr>
          <w:rFonts w:ascii="Arial" w:eastAsia="Arial" w:hAnsi="Arial" w:cs="Arial"/>
          <w:sz w:val="24"/>
          <w:szCs w:val="24"/>
        </w:rPr>
        <w:t>.</w:t>
      </w:r>
    </w:p>
    <w:p w:rsidR="00C6719A" w:rsidP="00EE5176" w14:paraId="38D732A1" w14:textId="77777777">
      <w:pPr>
        <w:spacing w:before="180" w:after="60" w:line="240" w:lineRule="exact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Reflection #1: Course Learning</w:t>
      </w:r>
    </w:p>
    <w:p w:rsidR="00B21DEA" w:rsidRPr="00B21DEA" w:rsidP="00B21DEA" w14:paraId="5B54732F" w14:textId="77777777">
      <w:pPr>
        <w:spacing w:after="120" w:line="240" w:lineRule="exact"/>
        <w:ind w:firstLine="720"/>
        <w:rPr>
          <w:rFonts w:ascii="Arial" w:eastAsia="Arial" w:hAnsi="Arial" w:cs="Arial"/>
          <w:sz w:val="24"/>
          <w:szCs w:val="24"/>
        </w:rPr>
      </w:pPr>
      <w:r w:rsidRPr="00B21DEA">
        <w:rPr>
          <w:rFonts w:ascii="Arial" w:eastAsia="Arial" w:hAnsi="Arial" w:cs="Arial"/>
          <w:sz w:val="24"/>
          <w:szCs w:val="24"/>
        </w:rPr>
        <w:t>The subject that touched me the most when I was studying at Unit 2 was on power and decision-making. Initially, I found the layers of power—visible, hidden, and invisible—in the framework confusing as there were some situations when I could not differentiate between them in real life (Pettit, n.d., p. 279). HBS Wildfire Simulation helped bring these differences to life in a way a text could not have. The concealed roles of our group formed an invisible power structure: nobody knew whose contribution was supposed to have a greater impact, and therefore, the voices of the loudest group prevailed, and ours successfully disappeared. Not only did we have no well-defined decision-making form, but also the culture of seeking dissent: two compounding failures that left the quieter members with no clear point to push back or provide insurance judgment (Phillips 2014, p. 43).</w:t>
      </w:r>
    </w:p>
    <w:p w:rsidR="00C6719A" w:rsidP="00B21DEA" w14:paraId="40376236" w14:textId="51D3AD90">
      <w:pPr>
        <w:spacing w:after="120" w:line="240" w:lineRule="exact"/>
        <w:ind w:firstLine="720"/>
      </w:pPr>
      <w:r w:rsidRPr="00B21DEA">
        <w:rPr>
          <w:rFonts w:ascii="Arial" w:eastAsia="Arial" w:hAnsi="Arial" w:cs="Arial"/>
          <w:sz w:val="24"/>
          <w:szCs w:val="24"/>
        </w:rPr>
        <w:t>Organizational design was the most difficult subject in Unit 3. The abstract of the Congruence Model made no sense to me until I applied it to the Wildfire case: our team having its critical tasks required organization water and land management, which was incongruent with its informal structure dominated by the mayor and his risk-taking that is constantly on the verge (</w:t>
      </w:r>
      <w:r w:rsidRPr="00B21DEA">
        <w:rPr>
          <w:rFonts w:ascii="Arial" w:eastAsia="Arial" w:hAnsi="Arial" w:cs="Arial"/>
          <w:sz w:val="24"/>
          <w:szCs w:val="24"/>
        </w:rPr>
        <w:t>Satterstrom</w:t>
      </w:r>
      <w:r w:rsidRPr="00B21DEA">
        <w:rPr>
          <w:rFonts w:ascii="Arial" w:eastAsia="Arial" w:hAnsi="Arial" w:cs="Arial"/>
          <w:sz w:val="24"/>
          <w:szCs w:val="24"/>
        </w:rPr>
        <w:t>, n.d.). The model clicked together with that connection. The issue that changed my views the most was that of consensus. My initial thought came in: because inclusion teams are always better, whereas my post-visit thought was as follows: without structure, inclusion becomes a roadblock in place of a strength, as it is traditionally viewed.</w:t>
      </w:r>
    </w:p>
    <w:p w:rsidR="00C6719A" w:rsidP="00EE5176" w14:paraId="27BF7AF9" w14:textId="77777777">
      <w:pPr>
        <w:spacing w:before="180" w:after="60" w:line="240" w:lineRule="exact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Reflection #2: Personal Leadership Development</w:t>
      </w:r>
    </w:p>
    <w:p w:rsidR="00B21DEA" w:rsidRPr="00B21DEA" w:rsidP="00B21DEA" w14:paraId="7969EA33" w14:textId="77777777">
      <w:pPr>
        <w:spacing w:after="120" w:line="240" w:lineRule="exact"/>
        <w:ind w:firstLine="720"/>
        <w:rPr>
          <w:rFonts w:ascii="Arial" w:eastAsia="Arial" w:hAnsi="Arial" w:cs="Arial"/>
          <w:sz w:val="24"/>
          <w:szCs w:val="24"/>
        </w:rPr>
      </w:pPr>
      <w:r w:rsidRPr="00B21DEA">
        <w:rPr>
          <w:rFonts w:ascii="Arial" w:eastAsia="Arial" w:hAnsi="Arial" w:cs="Arial"/>
          <w:sz w:val="24"/>
          <w:szCs w:val="24"/>
        </w:rPr>
        <w:t>My Unit 1 Reflection Essay profiled me as a Rebel and a procrastinator and questioned what I could attempt to practice to help me in my growing leadership practice. I have made a promise to engage in more assertive communication, especially when in a group environment where I am prone to being less assertive. Two of my primary test cases included the feedback experience and the Wildfire simulation, with the outcomes being mixed.</w:t>
      </w:r>
    </w:p>
    <w:p w:rsidR="00B21DEA" w:rsidRPr="00B21DEA" w:rsidP="00B21DEA" w14:paraId="6F4A8D07" w14:textId="77777777">
      <w:pPr>
        <w:spacing w:after="120" w:line="240" w:lineRule="exact"/>
        <w:ind w:firstLine="720"/>
        <w:rPr>
          <w:rFonts w:ascii="Arial" w:eastAsia="Arial" w:hAnsi="Arial" w:cs="Arial"/>
          <w:sz w:val="24"/>
          <w:szCs w:val="24"/>
        </w:rPr>
      </w:pPr>
      <w:r w:rsidRPr="00B21DEA">
        <w:rPr>
          <w:rFonts w:ascii="Arial" w:eastAsia="Arial" w:hAnsi="Arial" w:cs="Arial"/>
          <w:sz w:val="24"/>
          <w:szCs w:val="24"/>
        </w:rPr>
        <w:t>I consciously tried to make precise, unfiltered observations with my feedback instead of trying to dull everything into a stream of quaint sympathy. This coincided with such a transition out of general commendation into actionable advice, a transition that involves both boldness and specificity (Hocking 2022, p. 3). I discovered that I could do it more easily in written feedback in low-stakes situations compared to in an in-person conversation.</w:t>
      </w:r>
    </w:p>
    <w:p w:rsidR="00B21DEA" w:rsidRPr="00B21DEA" w:rsidP="00B21DEA" w14:paraId="1A1131F8" w14:textId="23576FE0">
      <w:pPr>
        <w:spacing w:after="120" w:line="240" w:lineRule="exact"/>
        <w:ind w:firstLine="720"/>
        <w:rPr>
          <w:rFonts w:ascii="Arial" w:eastAsia="Arial" w:hAnsi="Arial" w:cs="Arial"/>
          <w:sz w:val="24"/>
          <w:szCs w:val="24"/>
        </w:rPr>
      </w:pPr>
      <w:r w:rsidRPr="00B21DEA">
        <w:rPr>
          <w:rFonts w:ascii="Arial" w:eastAsia="Arial" w:hAnsi="Arial" w:cs="Arial"/>
          <w:sz w:val="24"/>
          <w:szCs w:val="24"/>
        </w:rPr>
        <w:t xml:space="preserve">I mostly reverted in the Wildfire simulation. When any position was open, and the field of interest was a water manager, operating under the most trying of circumstances, under a divided computer, already at a disadvantage, I could have done nothing but retreat. No one asked my advice, and I never volunteered. This is exactly the trend </w:t>
      </w:r>
      <w:r w:rsidRPr="00B21DEA">
        <w:rPr>
          <w:rFonts w:ascii="Arial" w:eastAsia="Arial" w:hAnsi="Arial" w:cs="Arial"/>
          <w:sz w:val="24"/>
          <w:szCs w:val="24"/>
        </w:rPr>
        <w:t xml:space="preserve">that develops when leaders are running on fumes or have to feel marginalized: they internalize detrimental narratives that continue to make them think and act in small ways (Shen 2024, Ch. 7, p. 7). I noticed this in the very moment, and even then, I did not interrupt this. It is that distance between notice and action that is where my actual development work is. The presence of emotional </w:t>
      </w:r>
      <w:r w:rsidRPr="00B21DEA">
        <w:rPr>
          <w:rFonts w:ascii="Arial" w:eastAsia="Arial" w:hAnsi="Arial" w:cs="Arial"/>
          <w:sz w:val="24"/>
          <w:szCs w:val="24"/>
        </w:rPr>
        <w:t>labor</w:t>
      </w:r>
      <w:r w:rsidRPr="00B21DEA">
        <w:rPr>
          <w:rFonts w:ascii="Arial" w:eastAsia="Arial" w:hAnsi="Arial" w:cs="Arial"/>
          <w:sz w:val="24"/>
          <w:szCs w:val="24"/>
        </w:rPr>
        <w:t xml:space="preserve"> cannot be shifted to any organization that cannot squarely handle the emotional </w:t>
      </w:r>
      <w:r w:rsidRPr="00B21DEA">
        <w:rPr>
          <w:rFonts w:ascii="Arial" w:eastAsia="Arial" w:hAnsi="Arial" w:cs="Arial"/>
          <w:sz w:val="24"/>
          <w:szCs w:val="24"/>
        </w:rPr>
        <w:t>labor</w:t>
      </w:r>
      <w:r w:rsidRPr="00B21DEA">
        <w:rPr>
          <w:rFonts w:ascii="Arial" w:eastAsia="Arial" w:hAnsi="Arial" w:cs="Arial"/>
          <w:sz w:val="24"/>
          <w:szCs w:val="24"/>
        </w:rPr>
        <w:t xml:space="preserve"> that is ominously in the purview of the individual (Mitchell, </w:t>
      </w:r>
      <w:r w:rsidRPr="00B21DEA">
        <w:rPr>
          <w:rFonts w:ascii="Arial" w:eastAsia="Arial" w:hAnsi="Arial" w:cs="Arial"/>
          <w:sz w:val="24"/>
          <w:szCs w:val="24"/>
        </w:rPr>
        <w:t>n.d.)</w:t>
      </w:r>
      <w:r>
        <w:rPr>
          <w:rFonts w:ascii="Arial" w:eastAsia="Arial" w:hAnsi="Arial" w:cs="Arial"/>
          <w:sz w:val="24"/>
          <w:szCs w:val="24"/>
        </w:rPr>
        <w:t>.</w:t>
      </w:r>
      <w:r w:rsidRPr="00B21DEA">
        <w:rPr>
          <w:rFonts w:ascii="Arial" w:eastAsia="Arial" w:hAnsi="Arial" w:cs="Arial"/>
          <w:sz w:val="24"/>
          <w:szCs w:val="24"/>
        </w:rPr>
        <w:t xml:space="preserve"> </w:t>
      </w:r>
      <w:r w:rsidRPr="00B21DEA">
        <w:rPr>
          <w:rFonts w:ascii="Arial" w:eastAsia="Arial" w:hAnsi="Arial" w:cs="Arial"/>
          <w:sz w:val="24"/>
          <w:szCs w:val="24"/>
        </w:rPr>
        <w:t xml:space="preserve">I cannot outsource the work of making my voice heard. </w:t>
      </w:r>
    </w:p>
    <w:p w:rsidR="00C6719A" w:rsidP="00B21DEA" w14:paraId="59B8705A" w14:textId="19C8FF94">
      <w:pPr>
        <w:spacing w:after="120" w:line="240" w:lineRule="exact"/>
        <w:ind w:firstLine="720"/>
        <w:rPr>
          <w:rFonts w:ascii="Arial" w:eastAsia="Arial" w:hAnsi="Arial" w:cs="Arial"/>
          <w:sz w:val="24"/>
          <w:szCs w:val="24"/>
        </w:rPr>
      </w:pPr>
      <w:r w:rsidRPr="00B21DEA">
        <w:rPr>
          <w:rFonts w:ascii="Arial" w:eastAsia="Arial" w:hAnsi="Arial" w:cs="Arial"/>
          <w:sz w:val="24"/>
          <w:szCs w:val="24"/>
        </w:rPr>
        <w:t>In retrospect, the learning agility assignment provided the most evident glimpse at the point at which my growth indeed came to a halt. Being agile as a learner means not only committing new information to memory, but applying it to pressure, as exactly the environment Wildfire simulation created, and just the environments where I failed to transfer the knowledge I had practised in lower-stakes environments.</w:t>
      </w:r>
    </w:p>
    <w:p w:rsidR="00C6719A" w:rsidP="00EE5176" w14:paraId="13BB06E9" w14:textId="77777777">
      <w:pPr>
        <w:spacing w:before="180" w:after="60" w:line="240" w:lineRule="exact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Conclusion: Final Takeaways</w:t>
      </w:r>
    </w:p>
    <w:p w:rsidR="00C6719A" w:rsidP="00EE5176" w14:paraId="0904E6CC" w14:textId="74DA4ACB">
      <w:pPr>
        <w:spacing w:after="120" w:line="240" w:lineRule="exact"/>
        <w:ind w:firstLine="720"/>
      </w:pPr>
      <w:r w:rsidRPr="00EE5176">
        <w:rPr>
          <w:rFonts w:ascii="Arial" w:eastAsia="Arial" w:hAnsi="Arial" w:cs="Arial"/>
          <w:sz w:val="24"/>
          <w:szCs w:val="24"/>
        </w:rPr>
        <w:t xml:space="preserve">The process of reflection opens up action (Freire 2000, p. 66). This course equipped me with vocabulary and patterns with which I can conceptualize what has been going on around me- and internal to my being- in the process of group work and during moments of </w:t>
      </w:r>
      <w:r w:rsidRPr="00EE5176">
        <w:rPr>
          <w:rFonts w:ascii="Arial" w:eastAsia="Arial" w:hAnsi="Arial" w:cs="Arial"/>
          <w:sz w:val="24"/>
          <w:szCs w:val="24"/>
        </w:rPr>
        <w:t>conflict. The</w:t>
      </w:r>
      <w:r w:rsidRPr="00EE5176">
        <w:rPr>
          <w:rFonts w:ascii="Arial" w:eastAsia="Arial" w:hAnsi="Arial" w:cs="Arial"/>
          <w:sz w:val="24"/>
          <w:szCs w:val="24"/>
        </w:rPr>
        <w:t xml:space="preserve"> concrete thing that I bring forward is this: different viewpoints will only lead to better results when there is structure to give space to a </w:t>
      </w:r>
      <w:r w:rsidRPr="00EE5176">
        <w:rPr>
          <w:rFonts w:ascii="Arial" w:eastAsia="Arial" w:hAnsi="Arial" w:cs="Arial"/>
          <w:sz w:val="24"/>
          <w:szCs w:val="24"/>
        </w:rPr>
        <w:t>team. I</w:t>
      </w:r>
      <w:r w:rsidRPr="00EE5176">
        <w:rPr>
          <w:rFonts w:ascii="Arial" w:eastAsia="Arial" w:hAnsi="Arial" w:cs="Arial"/>
          <w:sz w:val="24"/>
          <w:szCs w:val="24"/>
        </w:rPr>
        <w:t xml:space="preserve">, like most of my studies, had assumed after all that when, by this or any other chance, I had something worthy of saying, the opportune moment would present </w:t>
      </w:r>
      <w:r w:rsidRPr="00EE5176">
        <w:rPr>
          <w:rFonts w:ascii="Arial" w:eastAsia="Arial" w:hAnsi="Arial" w:cs="Arial"/>
          <w:sz w:val="24"/>
          <w:szCs w:val="24"/>
        </w:rPr>
        <w:t>itself. This</w:t>
      </w:r>
      <w:r w:rsidRPr="00EE5176">
        <w:rPr>
          <w:rFonts w:ascii="Arial" w:eastAsia="Arial" w:hAnsi="Arial" w:cs="Arial"/>
          <w:sz w:val="24"/>
          <w:szCs w:val="24"/>
        </w:rPr>
        <w:t xml:space="preserve"> course made me aware that in the case of individuals whose voices have historically been less strong, i.e., Rebels and simultaneously procrastinators, such a structure must be constructed consciously, and in fact, sometimes it is necessary to build the structure myself by hand</w:t>
      </w:r>
      <w:r w:rsidR="00000000">
        <w:rPr>
          <w:rFonts w:ascii="Arial" w:eastAsia="Arial" w:hAnsi="Arial" w:cs="Arial"/>
          <w:sz w:val="24"/>
          <w:szCs w:val="24"/>
        </w:rPr>
        <w:t>.</w:t>
      </w:r>
    </w:p>
    <w:p w:rsidR="00EE5176" w:rsidP="00EE5176" w14:paraId="33510451" w14:textId="77777777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:rsidR="00C6719A" w:rsidP="00EE5176" w14:paraId="1C16E4E5" w14:textId="12C89035">
      <w:pPr>
        <w:spacing w:before="180" w:after="60" w:line="240" w:lineRule="exact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References</w:t>
      </w:r>
    </w:p>
    <w:p w:rsidR="00C6719A" w:rsidRPr="00B21DEA" w:rsidP="00EE5176" w14:paraId="3557F54A" w14:textId="77777777">
      <w:pPr>
        <w:spacing w:after="80" w:line="240" w:lineRule="exact"/>
        <w:ind w:left="720" w:hanging="720"/>
      </w:pPr>
      <w:r w:rsidRPr="00B21DEA">
        <w:rPr>
          <w:rFonts w:ascii="Arial" w:eastAsia="Arial" w:hAnsi="Arial" w:cs="Arial"/>
          <w:sz w:val="24"/>
          <w:szCs w:val="24"/>
        </w:rPr>
        <w:t>Freire, P. (2000). Pedagogy of the oppressed (30th-anniversary ed.). Continuum International Publishing Group.</w:t>
      </w:r>
    </w:p>
    <w:p w:rsidR="00C6719A" w:rsidRPr="00B21DEA" w:rsidP="00EE5176" w14:paraId="0A69F865" w14:textId="77777777">
      <w:pPr>
        <w:spacing w:after="80" w:line="240" w:lineRule="exact"/>
        <w:ind w:left="720" w:hanging="720"/>
      </w:pPr>
      <w:r w:rsidRPr="00B21DEA">
        <w:rPr>
          <w:rFonts w:ascii="Arial" w:eastAsia="Arial" w:hAnsi="Arial" w:cs="Arial"/>
          <w:sz w:val="24"/>
          <w:szCs w:val="24"/>
        </w:rPr>
        <w:t>Hocking, C. (2022). Learning to delegate as a first-time manager. Harvard Business Review.</w:t>
      </w:r>
    </w:p>
    <w:p w:rsidR="00C6719A" w:rsidRPr="00B21DEA" w:rsidP="00EE5176" w14:paraId="1E6AEC5F" w14:textId="77777777">
      <w:pPr>
        <w:spacing w:after="80" w:line="240" w:lineRule="exact"/>
        <w:ind w:left="720" w:hanging="720"/>
      </w:pPr>
      <w:r w:rsidRPr="00B21DEA">
        <w:rPr>
          <w:rFonts w:ascii="Arial" w:eastAsia="Arial" w:hAnsi="Arial" w:cs="Arial"/>
          <w:sz w:val="24"/>
          <w:szCs w:val="24"/>
        </w:rPr>
        <w:t>Mitchell, M. (n.d.). Building resilient organizations. [Course reading].</w:t>
      </w:r>
    </w:p>
    <w:p w:rsidR="00C6719A" w:rsidRPr="00B21DEA" w:rsidP="00EE5176" w14:paraId="06FABC67" w14:textId="77777777">
      <w:pPr>
        <w:spacing w:after="80" w:line="240" w:lineRule="exact"/>
        <w:ind w:left="720" w:hanging="720"/>
      </w:pPr>
      <w:r w:rsidRPr="00B21DEA">
        <w:rPr>
          <w:rFonts w:ascii="Arial" w:eastAsia="Arial" w:hAnsi="Arial" w:cs="Arial"/>
          <w:sz w:val="24"/>
          <w:szCs w:val="24"/>
        </w:rPr>
        <w:t>Pettit, J. (n.d.). Power analysis for social change. [Course reading].</w:t>
      </w:r>
    </w:p>
    <w:p w:rsidR="00C6719A" w:rsidRPr="00B21DEA" w:rsidP="00EE5176" w14:paraId="5C1A5E42" w14:textId="77777777">
      <w:pPr>
        <w:spacing w:after="80" w:line="240" w:lineRule="exact"/>
        <w:ind w:left="720" w:hanging="720"/>
      </w:pPr>
      <w:r w:rsidRPr="00B21DEA">
        <w:rPr>
          <w:rFonts w:ascii="Arial" w:eastAsia="Arial" w:hAnsi="Arial" w:cs="Arial"/>
          <w:sz w:val="24"/>
          <w:szCs w:val="24"/>
        </w:rPr>
        <w:t>Phillips, K. W. (2014). How diversity makes us smarter. Scientific American, 311(4).</w:t>
      </w:r>
    </w:p>
    <w:p w:rsidR="00C6719A" w:rsidRPr="00B21DEA" w:rsidP="00EE5176" w14:paraId="7A9EF592" w14:textId="77777777">
      <w:pPr>
        <w:spacing w:after="80" w:line="240" w:lineRule="exact"/>
        <w:ind w:left="720" w:hanging="720"/>
      </w:pPr>
      <w:r w:rsidRPr="00B21DEA">
        <w:rPr>
          <w:rFonts w:ascii="Arial" w:eastAsia="Arial" w:hAnsi="Arial" w:cs="Arial"/>
          <w:sz w:val="24"/>
          <w:szCs w:val="24"/>
        </w:rPr>
        <w:t>Rubin, G. (n.d.). The four tendencies quiz. gretchenrubin.com.</w:t>
      </w:r>
    </w:p>
    <w:p w:rsidR="00C6719A" w:rsidRPr="00B21DEA" w:rsidP="00EE5176" w14:paraId="3F3FDBF3" w14:textId="77777777">
      <w:pPr>
        <w:spacing w:after="80" w:line="240" w:lineRule="exact"/>
        <w:ind w:left="720" w:hanging="720"/>
      </w:pPr>
      <w:r w:rsidRPr="00B21DEA">
        <w:rPr>
          <w:rFonts w:ascii="Arial" w:eastAsia="Arial" w:hAnsi="Arial" w:cs="Arial"/>
          <w:sz w:val="24"/>
          <w:szCs w:val="24"/>
        </w:rPr>
        <w:t>Satterstrom</w:t>
      </w:r>
      <w:r w:rsidRPr="00B21DEA">
        <w:rPr>
          <w:rFonts w:ascii="Arial" w:eastAsia="Arial" w:hAnsi="Arial" w:cs="Arial"/>
          <w:sz w:val="24"/>
          <w:szCs w:val="24"/>
        </w:rPr>
        <w:t>, P. (n.d.). Congruence model components &amp; key considerations. NYU Wagner M&amp;L Course.</w:t>
      </w:r>
    </w:p>
    <w:p w:rsidR="00C6719A" w:rsidRPr="00B21DEA" w:rsidP="00EE5176" w14:paraId="0FE5C123" w14:textId="77777777">
      <w:pPr>
        <w:spacing w:after="80" w:line="240" w:lineRule="exact"/>
        <w:ind w:left="720" w:hanging="720"/>
      </w:pPr>
      <w:r w:rsidRPr="00B21DEA">
        <w:rPr>
          <w:rFonts w:ascii="Arial" w:eastAsia="Arial" w:hAnsi="Arial" w:cs="Arial"/>
          <w:sz w:val="24"/>
          <w:szCs w:val="24"/>
        </w:rPr>
        <w:t>Shen, E. (2024). Choosing to lead against the current. [Course text].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65185802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EE5176" w:rsidRPr="00EE5176" w14:paraId="78534F7D" w14:textId="1371AC0E">
        <w:pPr>
          <w:pStyle w:val="Header"/>
          <w:jc w:val="right"/>
          <w:rPr>
            <w:rFonts w:ascii="Arial" w:hAnsi="Arial" w:cs="Arial"/>
            <w:sz w:val="24"/>
            <w:szCs w:val="24"/>
          </w:rPr>
        </w:pPr>
        <w:r w:rsidRPr="00EE5176">
          <w:rPr>
            <w:rFonts w:ascii="Arial" w:hAnsi="Arial" w:cs="Arial"/>
            <w:sz w:val="24"/>
            <w:szCs w:val="24"/>
          </w:rPr>
          <w:fldChar w:fldCharType="begin"/>
        </w:r>
        <w:r w:rsidRPr="00EE517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E5176">
          <w:rPr>
            <w:rFonts w:ascii="Arial" w:hAnsi="Arial" w:cs="Arial"/>
            <w:sz w:val="24"/>
            <w:szCs w:val="24"/>
          </w:rPr>
          <w:fldChar w:fldCharType="separate"/>
        </w:r>
        <w:r w:rsidRPr="00EE5176">
          <w:rPr>
            <w:rFonts w:ascii="Arial" w:hAnsi="Arial" w:cs="Arial"/>
            <w:noProof/>
            <w:sz w:val="24"/>
            <w:szCs w:val="24"/>
          </w:rPr>
          <w:t>2</w:t>
        </w:r>
        <w:r w:rsidRPr="00EE517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EE5176" w:rsidRPr="00EE5176" w14:paraId="0A90F2B9" w14:textId="77777777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74C5EA7"/>
    <w:multiLevelType w:val="hybridMultilevel"/>
    <w:tmpl w:val="CFAA38A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9211834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9A"/>
    <w:rsid w:val="006B52F9"/>
    <w:rsid w:val="00B21DEA"/>
    <w:rsid w:val="00BA265B"/>
    <w:rsid w:val="00C6719A"/>
    <w:rsid w:val="00D722FF"/>
    <w:rsid w:val="00EE517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DFB381"/>
  <w15:docId w15:val="{F5E22919-5307-44F1-B55F-745B9DBE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DEA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51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176"/>
  </w:style>
  <w:style w:type="paragraph" w:styleId="Footer">
    <w:name w:val="footer"/>
    <w:basedOn w:val="Normal"/>
    <w:link w:val="FooterChar"/>
    <w:uiPriority w:val="99"/>
    <w:unhideWhenUsed/>
    <w:rsid w:val="00EE51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Rubab Murtaza</cp:lastModifiedBy>
  <cp:revision>2</cp:revision>
  <dcterms:created xsi:type="dcterms:W3CDTF">2026-05-02T21:42:00Z</dcterms:created>
  <dcterms:modified xsi:type="dcterms:W3CDTF">2026-05-02T21:42:00Z</dcterms:modified>
</cp:coreProperties>
</file>