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36F77" w:rsidP="00036F77" w14:paraId="6A71F8FE" w14:textId="77777777"/>
    <w:p w:rsidR="00036F77" w:rsidP="00036F77" w14:paraId="316A0ACE" w14:textId="77777777"/>
    <w:p w:rsidR="00036F77" w:rsidP="00036F77" w14:paraId="4C2D5534" w14:textId="77777777">
      <w:pPr>
        <w:jc w:val="center"/>
      </w:pPr>
    </w:p>
    <w:p w:rsidR="00036F77" w:rsidP="00036F77" w14:paraId="46234617" w14:textId="77777777">
      <w:pPr>
        <w:spacing w:line="480" w:lineRule="auto"/>
        <w:jc w:val="center"/>
        <w:rPr>
          <w:b/>
          <w:bCs/>
        </w:rPr>
      </w:pPr>
    </w:p>
    <w:p w:rsidR="00036F77" w:rsidP="00036F77" w14:paraId="31600512" w14:textId="77777777">
      <w:pPr>
        <w:spacing w:line="480" w:lineRule="auto"/>
        <w:jc w:val="center"/>
        <w:rPr>
          <w:b/>
          <w:bCs/>
        </w:rPr>
      </w:pPr>
    </w:p>
    <w:p w:rsidR="00036F77" w:rsidP="00036F77" w14:paraId="1FBE1983" w14:textId="77777777">
      <w:pPr>
        <w:spacing w:line="480" w:lineRule="auto"/>
        <w:jc w:val="center"/>
        <w:rPr>
          <w:b/>
          <w:bCs/>
        </w:rPr>
      </w:pPr>
    </w:p>
    <w:p w:rsidR="00036F77" w:rsidP="00036F77" w14:paraId="2DB884A2" w14:textId="77777777">
      <w:pPr>
        <w:spacing w:line="480" w:lineRule="auto"/>
        <w:jc w:val="center"/>
        <w:rPr>
          <w:b/>
          <w:bCs/>
        </w:rPr>
      </w:pPr>
    </w:p>
    <w:p w:rsidR="00036F77" w:rsidP="00036F77" w14:paraId="02B921A6" w14:textId="77777777">
      <w:pPr>
        <w:spacing w:line="480" w:lineRule="auto"/>
        <w:rPr>
          <w:b/>
          <w:bCs/>
        </w:rPr>
      </w:pPr>
    </w:p>
    <w:p w:rsidR="00036F77" w:rsidP="00036F77" w14:paraId="7CD3A963" w14:textId="77777777">
      <w:pPr>
        <w:spacing w:line="480" w:lineRule="auto"/>
        <w:jc w:val="center"/>
        <w:rPr>
          <w:b/>
          <w:bCs/>
        </w:rPr>
      </w:pPr>
    </w:p>
    <w:p w:rsidR="00036F77" w:rsidRPr="0073576D" w:rsidP="00036F77" w14:paraId="5DDF44F9" w14:textId="77777777">
      <w:pPr>
        <w:spacing w:line="480" w:lineRule="auto"/>
        <w:jc w:val="center"/>
        <w:rPr>
          <w:rFonts w:ascii="Arial" w:hAnsi="Arial" w:cs="Arial"/>
        </w:rPr>
      </w:pPr>
      <w:r w:rsidRPr="0073576D">
        <w:rPr>
          <w:rFonts w:ascii="Arial" w:eastAsia="Arial" w:hAnsi="Arial" w:cs="Arial"/>
          <w:b/>
          <w:bCs/>
          <w:sz w:val="24"/>
          <w:szCs w:val="24"/>
        </w:rPr>
        <w:t>Question #1: The Fortune Society Case Study</w:t>
      </w:r>
    </w:p>
    <w:p w:rsidR="00036F77" w:rsidRPr="0073576D" w:rsidP="00036F77" w14:paraId="376145B0" w14:textId="77777777">
      <w:pPr>
        <w:spacing w:line="480" w:lineRule="auto"/>
        <w:jc w:val="center"/>
        <w:rPr>
          <w:sz w:val="24"/>
          <w:szCs w:val="24"/>
        </w:rPr>
      </w:pPr>
    </w:p>
    <w:p w:rsidR="00036F77" w:rsidRPr="0073576D" w:rsidP="00036F77" w14:paraId="29BB4A2E" w14:textId="77777777">
      <w:pPr>
        <w:spacing w:line="480" w:lineRule="auto"/>
        <w:jc w:val="center"/>
        <w:rPr>
          <w:rFonts w:ascii="Arial" w:hAnsi="Arial" w:cs="Arial"/>
          <w:sz w:val="24"/>
          <w:szCs w:val="24"/>
        </w:rPr>
      </w:pPr>
      <w:r w:rsidRPr="0073576D">
        <w:rPr>
          <w:rFonts w:ascii="Arial" w:hAnsi="Arial" w:cs="Arial"/>
          <w:sz w:val="24"/>
          <w:szCs w:val="24"/>
        </w:rPr>
        <w:t>Name</w:t>
      </w:r>
    </w:p>
    <w:p w:rsidR="00036F77" w:rsidRPr="0073576D" w:rsidP="00036F77" w14:paraId="11199E01" w14:textId="77777777">
      <w:pPr>
        <w:spacing w:line="480" w:lineRule="auto"/>
        <w:jc w:val="center"/>
        <w:rPr>
          <w:rFonts w:ascii="Arial" w:hAnsi="Arial" w:cs="Arial"/>
          <w:sz w:val="24"/>
          <w:szCs w:val="24"/>
        </w:rPr>
      </w:pPr>
      <w:r w:rsidRPr="0073576D">
        <w:rPr>
          <w:rFonts w:ascii="Arial" w:hAnsi="Arial" w:cs="Arial"/>
          <w:sz w:val="24"/>
          <w:szCs w:val="24"/>
        </w:rPr>
        <w:t>University</w:t>
      </w:r>
    </w:p>
    <w:p w:rsidR="00036F77" w:rsidRPr="0073576D" w:rsidP="00036F77" w14:paraId="1ECF574B" w14:textId="77777777">
      <w:pPr>
        <w:spacing w:line="480" w:lineRule="auto"/>
        <w:jc w:val="center"/>
        <w:rPr>
          <w:rFonts w:ascii="Arial" w:hAnsi="Arial" w:cs="Arial"/>
          <w:sz w:val="24"/>
          <w:szCs w:val="24"/>
        </w:rPr>
      </w:pPr>
      <w:r w:rsidRPr="0073576D">
        <w:rPr>
          <w:rFonts w:ascii="Arial" w:hAnsi="Arial" w:cs="Arial"/>
          <w:sz w:val="24"/>
          <w:szCs w:val="24"/>
        </w:rPr>
        <w:t>Course Name</w:t>
      </w:r>
    </w:p>
    <w:p w:rsidR="00036F77" w:rsidRPr="0073576D" w:rsidP="00036F77" w14:paraId="1354A44D" w14:textId="77777777">
      <w:pPr>
        <w:spacing w:line="480" w:lineRule="auto"/>
        <w:jc w:val="center"/>
        <w:rPr>
          <w:rFonts w:ascii="Arial" w:hAnsi="Arial" w:cs="Arial"/>
          <w:sz w:val="24"/>
          <w:szCs w:val="24"/>
        </w:rPr>
      </w:pPr>
      <w:r w:rsidRPr="0073576D">
        <w:rPr>
          <w:rFonts w:ascii="Arial" w:hAnsi="Arial" w:cs="Arial"/>
          <w:sz w:val="24"/>
          <w:szCs w:val="24"/>
        </w:rPr>
        <w:t>Instructor Name</w:t>
      </w:r>
    </w:p>
    <w:p w:rsidR="00036F77" w:rsidRPr="0073576D" w:rsidP="00036F77" w14:paraId="312FDF76" w14:textId="77777777">
      <w:pPr>
        <w:spacing w:line="480" w:lineRule="auto"/>
        <w:jc w:val="center"/>
        <w:rPr>
          <w:rFonts w:ascii="Arial" w:hAnsi="Arial" w:cs="Arial"/>
          <w:sz w:val="24"/>
          <w:szCs w:val="24"/>
        </w:rPr>
      </w:pPr>
      <w:r w:rsidRPr="0073576D">
        <w:rPr>
          <w:rFonts w:ascii="Arial" w:hAnsi="Arial" w:cs="Arial"/>
          <w:sz w:val="24"/>
          <w:szCs w:val="24"/>
        </w:rPr>
        <w:t>Date</w:t>
      </w:r>
    </w:p>
    <w:p w:rsidR="00036F77" w:rsidRPr="0073576D" w:rsidP="00036F77" w14:paraId="149C8245" w14:textId="77777777">
      <w:pPr>
        <w:jc w:val="center"/>
      </w:pPr>
    </w:p>
    <w:p w:rsidR="00036F77" w:rsidRPr="0073576D" w14:paraId="4CCA6969" w14:textId="77777777">
      <w:pPr>
        <w:rPr>
          <w:rFonts w:ascii="Arial" w:eastAsia="Arial" w:hAnsi="Arial" w:cs="Arial"/>
          <w:b/>
          <w:bCs/>
          <w:sz w:val="24"/>
          <w:szCs w:val="24"/>
        </w:rPr>
      </w:pPr>
      <w:r w:rsidRPr="0073576D">
        <w:rPr>
          <w:rFonts w:ascii="Arial" w:eastAsia="Arial" w:hAnsi="Arial" w:cs="Arial"/>
          <w:b/>
          <w:bCs/>
          <w:sz w:val="24"/>
          <w:szCs w:val="24"/>
        </w:rPr>
        <w:br w:type="page"/>
      </w:r>
    </w:p>
    <w:p w:rsidR="00DD0775" w:rsidRPr="0073576D" w:rsidP="00036F77" w14:paraId="6CA19961" w14:textId="5C8A9D89">
      <w:pPr>
        <w:spacing w:line="240" w:lineRule="exact"/>
        <w:jc w:val="center"/>
      </w:pPr>
      <w:r w:rsidRPr="0073576D">
        <w:rPr>
          <w:rFonts w:ascii="Arial" w:eastAsia="Arial" w:hAnsi="Arial" w:cs="Arial"/>
          <w:b/>
          <w:bCs/>
          <w:sz w:val="24"/>
          <w:szCs w:val="24"/>
        </w:rPr>
        <w:t>Question #1: The Fortune Society Case Study</w:t>
      </w:r>
    </w:p>
    <w:p w:rsidR="00DD0775" w:rsidRPr="0073576D" w:rsidP="00036F77" w14:paraId="0E860B43" w14:textId="77777777">
      <w:pPr>
        <w:spacing w:before="180" w:line="240" w:lineRule="exact"/>
        <w:jc w:val="center"/>
      </w:pPr>
      <w:r w:rsidRPr="0073576D">
        <w:rPr>
          <w:rFonts w:ascii="Arial" w:eastAsia="Arial" w:hAnsi="Arial" w:cs="Arial"/>
          <w:b/>
          <w:bCs/>
          <w:sz w:val="24"/>
          <w:szCs w:val="24"/>
        </w:rPr>
        <w:t>Building an Effective Team</w:t>
      </w:r>
    </w:p>
    <w:p w:rsidR="00036F77" w:rsidRPr="0073576D" w:rsidP="0073576D" w14:paraId="63FC36FF" w14:textId="77777777">
      <w:pPr>
        <w:spacing w:line="240" w:lineRule="exact"/>
        <w:ind w:firstLine="720"/>
        <w:rPr>
          <w:rFonts w:ascii="Arial" w:eastAsia="Arial" w:hAnsi="Arial" w:cs="Arial"/>
          <w:sz w:val="24"/>
          <w:szCs w:val="24"/>
        </w:rPr>
      </w:pPr>
      <w:r w:rsidRPr="0073576D">
        <w:rPr>
          <w:rFonts w:ascii="Arial" w:eastAsia="Arial" w:hAnsi="Arial" w:cs="Arial"/>
          <w:sz w:val="24"/>
          <w:szCs w:val="24"/>
        </w:rPr>
        <w:t>Tricia needs to show the Board three tangible plans on how to restructure the team at Fortune with the new federal climate. The first thing she will need to do is to regain psychological safety. The elementary task of a manager is to establish the setting of team performance by establishing an atmosphere in which the team members feel safe to be open contributors (Hill 2020, p. 3). Since staffing is already self-censoring and having to quiet-quit in fear, Tricia needs to provide secure forums - listening sessions and anonymous feedback forms - where Survivalists and Justice-Minded staff members will be able to raise concerns without a penalty.</w:t>
      </w:r>
    </w:p>
    <w:p w:rsidR="00036F77" w:rsidRPr="0073576D" w:rsidP="0073576D" w14:paraId="5DD6AFD3" w14:textId="77777777">
      <w:pPr>
        <w:spacing w:line="240" w:lineRule="exact"/>
        <w:ind w:firstLine="720"/>
        <w:rPr>
          <w:rFonts w:ascii="Arial" w:eastAsia="Arial" w:hAnsi="Arial" w:cs="Arial"/>
          <w:sz w:val="24"/>
          <w:szCs w:val="24"/>
        </w:rPr>
      </w:pPr>
      <w:r w:rsidRPr="0073576D">
        <w:rPr>
          <w:rFonts w:ascii="Arial" w:eastAsia="Arial" w:hAnsi="Arial" w:cs="Arial"/>
          <w:sz w:val="24"/>
          <w:szCs w:val="24"/>
        </w:rPr>
        <w:t>Second, diversity should be a strategic asset to the Board. Social diversity enhances the probability of persons who make independent judgments to express the same, which directly elevates team problem-solving (Phillips 2014, p. 3). Having the experiential combination of Peer Navigators and career social workers is not cosmetic; it is what the matrix works. The Board should map their individual contribution of competencies to each subgroup, but not de-achieve staff to be interchangeable.</w:t>
      </w:r>
    </w:p>
    <w:p w:rsidR="00DD0775" w:rsidRPr="0073576D" w:rsidP="0073576D" w14:paraId="6BAD51CA" w14:textId="522D0EB2">
      <w:pPr>
        <w:spacing w:line="240" w:lineRule="exact"/>
        <w:ind w:firstLine="720"/>
      </w:pPr>
      <w:r w:rsidRPr="0073576D">
        <w:rPr>
          <w:rFonts w:ascii="Arial" w:eastAsia="Arial" w:hAnsi="Arial" w:cs="Arial"/>
          <w:sz w:val="24"/>
          <w:szCs w:val="24"/>
        </w:rPr>
        <w:t>Third, Tricia is supposed to take the team through a mission re-articulation process. The justice-oriented institutions will also need to shed strategic illusions as the environment evolves, which should also adjust their language without losing their essence (Bell and Tucker 2021, p. 2). An equitable statement on the equity commitments of Fortune and a compliance-based mission statement that is co-designed with the staff at all levels, and maintains the mandate of the federal requirement, is preserved.</w:t>
      </w:r>
    </w:p>
    <w:p w:rsidR="00DD0775" w:rsidRPr="0073576D" w:rsidP="00036F77" w14:paraId="732791B0" w14:textId="77777777">
      <w:pPr>
        <w:spacing w:before="180" w:line="240" w:lineRule="exact"/>
        <w:jc w:val="center"/>
      </w:pPr>
      <w:r w:rsidRPr="0073576D">
        <w:rPr>
          <w:rFonts w:ascii="Arial" w:eastAsia="Arial" w:hAnsi="Arial" w:cs="Arial"/>
          <w:b/>
          <w:bCs/>
          <w:sz w:val="24"/>
          <w:szCs w:val="24"/>
        </w:rPr>
        <w:t>Gap Statement and Root Cause Diagnosis</w:t>
      </w:r>
    </w:p>
    <w:p w:rsidR="00DD0775" w:rsidRPr="0073576D" w:rsidP="0073576D" w14:paraId="500D0EF0" w14:textId="35E7D9E9">
      <w:pPr>
        <w:spacing w:line="240" w:lineRule="exact"/>
        <w:ind w:firstLine="720"/>
      </w:pPr>
      <w:r w:rsidRPr="0073576D">
        <w:rPr>
          <w:rFonts w:ascii="Arial" w:eastAsia="Arial" w:hAnsi="Arial" w:cs="Arial"/>
          <w:sz w:val="24"/>
          <w:szCs w:val="24"/>
        </w:rPr>
        <w:t>Fortune is not facing an untapped opportunity, but rather a performance lapse/measurable regression of previous performance. The Compliance Oversight Silo has impoverished the flow of information on the matrix, marginalized Peer Navigators, and failed to promote psychological safety. With the help of the Congruence Model, two root causes are identified (</w:t>
      </w:r>
      <w:r w:rsidRPr="0073576D">
        <w:rPr>
          <w:rFonts w:ascii="Arial" w:eastAsia="Arial" w:hAnsi="Arial" w:cs="Arial"/>
          <w:sz w:val="24"/>
          <w:szCs w:val="24"/>
        </w:rPr>
        <w:t>Satterstrom</w:t>
      </w:r>
      <w:r w:rsidRPr="0073576D">
        <w:rPr>
          <w:rFonts w:ascii="Arial" w:eastAsia="Arial" w:hAnsi="Arial" w:cs="Arial"/>
          <w:sz w:val="24"/>
          <w:szCs w:val="24"/>
        </w:rPr>
        <w:t>, n.d., p. 2).</w:t>
      </w:r>
    </w:p>
    <w:p w:rsidR="00036F77" w:rsidRPr="0073576D" w:rsidP="00036F77" w14:paraId="19CA57EE" w14:textId="77777777">
      <w:pPr>
        <w:spacing w:line="240" w:lineRule="exact"/>
        <w:jc w:val="both"/>
        <w:rPr>
          <w:rFonts w:ascii="Arial" w:eastAsia="Arial" w:hAnsi="Arial" w:cs="Arial"/>
          <w:sz w:val="24"/>
          <w:szCs w:val="24"/>
        </w:rPr>
      </w:pPr>
      <w:r w:rsidRPr="0073576D">
        <w:rPr>
          <w:rFonts w:ascii="Arial" w:eastAsia="Arial" w:hAnsi="Arial" w:cs="Arial"/>
          <w:b/>
          <w:bCs/>
          <w:sz w:val="24"/>
          <w:szCs w:val="24"/>
        </w:rPr>
        <w:t>Root Cause 1: Incongruence Between Formal Organization and Critical Tasks.</w:t>
      </w:r>
      <w:r w:rsidRPr="0073576D">
        <w:rPr>
          <w:rFonts w:ascii="Arial" w:eastAsia="Arial" w:hAnsi="Arial" w:cs="Arial"/>
          <w:sz w:val="24"/>
          <w:szCs w:val="24"/>
        </w:rPr>
        <w:t xml:space="preserve"> </w:t>
      </w:r>
    </w:p>
    <w:p w:rsidR="00DD0775" w:rsidRPr="0073576D" w:rsidP="0073576D" w14:paraId="2002ECB9" w14:textId="21AF2C75">
      <w:pPr>
        <w:spacing w:line="240" w:lineRule="exact"/>
        <w:ind w:firstLine="720"/>
      </w:pPr>
      <w:r w:rsidRPr="0073576D">
        <w:rPr>
          <w:rFonts w:ascii="Arial" w:eastAsia="Arial" w:hAnsi="Arial" w:cs="Arial"/>
          <w:sz w:val="24"/>
          <w:szCs w:val="24"/>
        </w:rPr>
        <w:t>The Congruence Model poses a question: Do the structure and systems in the organization aid in carrying out the most important tasks in the organization? (</w:t>
      </w:r>
      <w:r w:rsidRPr="0073576D">
        <w:rPr>
          <w:rFonts w:ascii="Arial" w:eastAsia="Arial" w:hAnsi="Arial" w:cs="Arial"/>
          <w:sz w:val="24"/>
          <w:szCs w:val="24"/>
        </w:rPr>
        <w:t>Satterstrom</w:t>
      </w:r>
      <w:r w:rsidRPr="0073576D">
        <w:rPr>
          <w:rFonts w:ascii="Arial" w:eastAsia="Arial" w:hAnsi="Arial" w:cs="Arial"/>
          <w:sz w:val="24"/>
          <w:szCs w:val="24"/>
        </w:rPr>
        <w:t>, n.d., p. 1). The hard work of fortune demands horizontal, identity-conscious navigation between departments. The newly applied silo makes this lateral structure a vertical approval structure that directly hinders the work. The agency's protective structure is crippling the agency.</w:t>
      </w:r>
    </w:p>
    <w:p w:rsidR="00036F77" w:rsidRPr="0073576D" w:rsidP="00036F77" w14:paraId="36534DB8" w14:textId="77777777">
      <w:pPr>
        <w:spacing w:line="240" w:lineRule="exact"/>
        <w:jc w:val="both"/>
        <w:rPr>
          <w:rFonts w:ascii="Arial" w:eastAsia="Arial" w:hAnsi="Arial" w:cs="Arial"/>
          <w:sz w:val="24"/>
          <w:szCs w:val="24"/>
        </w:rPr>
      </w:pPr>
      <w:r w:rsidRPr="0073576D">
        <w:rPr>
          <w:rFonts w:ascii="Arial" w:eastAsia="Arial" w:hAnsi="Arial" w:cs="Arial"/>
          <w:b/>
          <w:bCs/>
          <w:sz w:val="24"/>
          <w:szCs w:val="24"/>
        </w:rPr>
        <w:t>Root Cause 2: Incongruence Between Culture and Strategy.</w:t>
      </w:r>
      <w:r w:rsidRPr="0073576D">
        <w:rPr>
          <w:rFonts w:ascii="Arial" w:eastAsia="Arial" w:hAnsi="Arial" w:cs="Arial"/>
          <w:sz w:val="24"/>
          <w:szCs w:val="24"/>
        </w:rPr>
        <w:t xml:space="preserve"> </w:t>
      </w:r>
    </w:p>
    <w:p w:rsidR="00DD0775" w:rsidRPr="0073576D" w:rsidP="0073576D" w14:paraId="2B403F63" w14:textId="53EBAD45">
      <w:pPr>
        <w:spacing w:line="240" w:lineRule="exact"/>
        <w:ind w:firstLine="720"/>
      </w:pPr>
      <w:r w:rsidRPr="0073576D">
        <w:rPr>
          <w:rFonts w:ascii="Arial" w:eastAsia="Arial" w:hAnsi="Arial" w:cs="Arial"/>
          <w:sz w:val="24"/>
          <w:szCs w:val="24"/>
        </w:rPr>
        <w:t xml:space="preserve">The Congruence Model conceptualizes the concept of culture as norms, values, and </w:t>
      </w:r>
      <w:r w:rsidRPr="0073576D">
        <w:rPr>
          <w:rFonts w:ascii="Arial" w:eastAsia="Arial" w:hAnsi="Arial" w:cs="Arial"/>
          <w:sz w:val="24"/>
          <w:szCs w:val="24"/>
        </w:rPr>
        <w:t>behaviors</w:t>
      </w:r>
      <w:r w:rsidRPr="0073576D">
        <w:rPr>
          <w:rFonts w:ascii="Arial" w:eastAsia="Arial" w:hAnsi="Arial" w:cs="Arial"/>
          <w:sz w:val="24"/>
          <w:szCs w:val="24"/>
        </w:rPr>
        <w:t xml:space="preserve"> of organizational members and poses a question as to whether it fits strategy (</w:t>
      </w:r>
      <w:r w:rsidRPr="0073576D">
        <w:rPr>
          <w:rFonts w:ascii="Arial" w:eastAsia="Arial" w:hAnsi="Arial" w:cs="Arial"/>
          <w:sz w:val="24"/>
          <w:szCs w:val="24"/>
        </w:rPr>
        <w:t>Satterstrom</w:t>
      </w:r>
      <w:r w:rsidRPr="0073576D">
        <w:rPr>
          <w:rFonts w:ascii="Arial" w:eastAsia="Arial" w:hAnsi="Arial" w:cs="Arial"/>
          <w:sz w:val="24"/>
          <w:szCs w:val="24"/>
        </w:rPr>
        <w:t xml:space="preserve">, n.d., p. 1). The culture of radical empathy and shared belonging that was exhibited by Fortune is at its most extreme conflict with the compliance-based norms of silence and suspicion. The culture should be led by strategy and not vice versa (Imani et al. 2022, p. 1); organizational strategy should not force organizational </w:t>
      </w:r>
      <w:r w:rsidRPr="0073576D">
        <w:rPr>
          <w:rFonts w:ascii="Arial" w:eastAsia="Arial" w:hAnsi="Arial" w:cs="Arial"/>
          <w:sz w:val="24"/>
          <w:szCs w:val="24"/>
        </w:rPr>
        <w:t>behavioral</w:t>
      </w:r>
      <w:r w:rsidRPr="0073576D">
        <w:rPr>
          <w:rFonts w:ascii="Arial" w:eastAsia="Arial" w:hAnsi="Arial" w:cs="Arial"/>
          <w:sz w:val="24"/>
          <w:szCs w:val="24"/>
        </w:rPr>
        <w:t xml:space="preserve"> norms, but, on the contrary, once organizational culture is shattered at the core as a result of forced attention, its performance declines.</w:t>
      </w:r>
    </w:p>
    <w:p w:rsidR="00DD0775" w:rsidRPr="0073576D" w:rsidP="00036F77" w14:paraId="5ACC8C0F" w14:textId="77777777">
      <w:pPr>
        <w:spacing w:before="180" w:line="240" w:lineRule="exact"/>
        <w:jc w:val="center"/>
      </w:pPr>
      <w:r w:rsidRPr="0073576D">
        <w:rPr>
          <w:rFonts w:ascii="Arial" w:eastAsia="Arial" w:hAnsi="Arial" w:cs="Arial"/>
          <w:b/>
          <w:bCs/>
          <w:sz w:val="24"/>
          <w:szCs w:val="24"/>
        </w:rPr>
        <w:t>Recommendations for Organizational Design</w:t>
      </w:r>
    </w:p>
    <w:p w:rsidR="00036F77" w:rsidRPr="0073576D" w:rsidP="0073576D" w14:paraId="2803F783" w14:textId="77777777">
      <w:pPr>
        <w:spacing w:line="240" w:lineRule="exact"/>
        <w:ind w:firstLine="720"/>
        <w:rPr>
          <w:rFonts w:ascii="Arial" w:eastAsia="Arial" w:hAnsi="Arial" w:cs="Arial"/>
          <w:sz w:val="24"/>
          <w:szCs w:val="24"/>
        </w:rPr>
      </w:pPr>
      <w:r w:rsidRPr="0073576D">
        <w:rPr>
          <w:rFonts w:ascii="Arial" w:eastAsia="Arial" w:hAnsi="Arial" w:cs="Arial"/>
          <w:sz w:val="24"/>
          <w:szCs w:val="24"/>
        </w:rPr>
        <w:t xml:space="preserve">Macro level, Tricia ought to reinstate the cross-functional matrix and rebrand Legal/Finance compliance as a support layer, as opposed to a gate. Form should precede the strategy, and when the structure and the strategy cannot be aligned, it forms precisely the barriers that Fortune is currently experiencing (Carucci and Shappell </w:t>
      </w:r>
      <w:r w:rsidRPr="0073576D">
        <w:rPr>
          <w:rFonts w:ascii="Arial" w:eastAsia="Arial" w:hAnsi="Arial" w:cs="Arial"/>
          <w:sz w:val="24"/>
          <w:szCs w:val="24"/>
        </w:rPr>
        <w:t>2021, p. 2). The operative design should be the matrix, social workers, and Peer Navigators in each service line.</w:t>
      </w:r>
    </w:p>
    <w:p w:rsidR="00DD0775" w:rsidRPr="0073576D" w:rsidP="0073576D" w14:paraId="71C6AC74" w14:textId="27881C3C">
      <w:pPr>
        <w:spacing w:line="240" w:lineRule="exact"/>
        <w:ind w:firstLine="720"/>
      </w:pPr>
      <w:r w:rsidRPr="0073576D">
        <w:rPr>
          <w:rFonts w:ascii="Arial" w:eastAsia="Arial" w:hAnsi="Arial" w:cs="Arial"/>
          <w:sz w:val="24"/>
          <w:szCs w:val="24"/>
        </w:rPr>
        <w:t>At the micro level, reporting relationships are an indicator of organizational values-who reports to whom, and communicates what will be prioritized by the organization (Bell 2021, p. 3). Tricia needs to redefine the Peer Navigator position, in which there is a direct reporting line to the program leadership, rather than under compliance. A two-channel documentation system, which would separate the internal narrative files and the federally submitted records, would also enable the staff to save identity-conscious casework information and yet address the external needs.</w:t>
      </w:r>
      <w:r w:rsidRPr="0073576D" w:rsidR="0073576D">
        <w:rPr>
          <w:rFonts w:ascii="Arial" w:eastAsia="Arial" w:hAnsi="Arial" w:cs="Arial"/>
          <w:sz w:val="24"/>
          <w:szCs w:val="24"/>
        </w:rPr>
        <w:t xml:space="preserve"> </w:t>
      </w:r>
      <w:r w:rsidRPr="0073576D" w:rsidR="0073576D">
        <w:rPr>
          <w:rFonts w:ascii="Arial" w:eastAsia="Arial" w:hAnsi="Arial" w:cs="Arial"/>
          <w:sz w:val="24"/>
          <w:szCs w:val="24"/>
        </w:rPr>
        <w:t xml:space="preserve">To further support this dual structure, Tricia should promote a formal governance policy that safeguards the matrix design against future emergency restructuring so that compliance pressures cannot again be against the wishes of the majority of the population in unilaterally blocking lateral communications lines, unimaginable beforehand, with emergency </w:t>
      </w:r>
      <w:r w:rsidRPr="0073576D" w:rsidR="0073576D">
        <w:rPr>
          <w:rFonts w:ascii="Arial" w:eastAsia="Arial" w:hAnsi="Arial" w:cs="Arial"/>
          <w:sz w:val="24"/>
          <w:szCs w:val="24"/>
        </w:rPr>
        <w:t>restructuring.</w:t>
      </w:r>
      <w:r w:rsidRPr="0073576D" w:rsidR="0073576D">
        <w:rPr>
          <w:rFonts w:ascii="Arial" w:eastAsia="Arial" w:hAnsi="Arial" w:cs="Arial"/>
          <w:sz w:val="24"/>
          <w:szCs w:val="24"/>
        </w:rPr>
        <w:t xml:space="preserve"> If any structural changes are to be made, organizational resiliency would be embedded directly in the governing documents of Fortune.</w:t>
      </w:r>
    </w:p>
    <w:p w:rsidR="00DD0775" w:rsidRPr="0073576D" w:rsidP="00036F77" w14:paraId="6DD2D772" w14:textId="77777777">
      <w:pPr>
        <w:spacing w:before="180" w:line="240" w:lineRule="exact"/>
        <w:jc w:val="center"/>
      </w:pPr>
      <w:r w:rsidRPr="0073576D">
        <w:rPr>
          <w:rFonts w:ascii="Arial" w:eastAsia="Arial" w:hAnsi="Arial" w:cs="Arial"/>
          <w:b/>
          <w:bCs/>
          <w:sz w:val="24"/>
          <w:szCs w:val="24"/>
        </w:rPr>
        <w:t>Recommendations for Organizational Culture</w:t>
      </w:r>
    </w:p>
    <w:p w:rsidR="00036F77" w:rsidRPr="0073576D" w:rsidP="0073576D" w14:paraId="5464D28D" w14:textId="77777777">
      <w:pPr>
        <w:spacing w:line="240" w:lineRule="exact"/>
        <w:ind w:firstLine="720"/>
        <w:rPr>
          <w:rFonts w:ascii="Arial" w:eastAsia="Arial" w:hAnsi="Arial" w:cs="Arial"/>
          <w:sz w:val="24"/>
          <w:szCs w:val="24"/>
        </w:rPr>
      </w:pPr>
      <w:r w:rsidRPr="0073576D">
        <w:rPr>
          <w:rFonts w:ascii="Arial" w:eastAsia="Arial" w:hAnsi="Arial" w:cs="Arial"/>
          <w:sz w:val="24"/>
          <w:szCs w:val="24"/>
        </w:rPr>
        <w:t xml:space="preserve">First, Tricia ought to embark on a cultural reset by making systematic storytelling. Culture follows strategy, and </w:t>
      </w:r>
      <w:r w:rsidRPr="0073576D">
        <w:rPr>
          <w:rFonts w:ascii="Arial" w:eastAsia="Arial" w:hAnsi="Arial" w:cs="Arial"/>
          <w:sz w:val="24"/>
          <w:szCs w:val="24"/>
        </w:rPr>
        <w:t>design</w:t>
      </w:r>
      <w:r w:rsidRPr="0073576D">
        <w:rPr>
          <w:rFonts w:ascii="Arial" w:eastAsia="Arial" w:hAnsi="Arial" w:cs="Arial"/>
          <w:sz w:val="24"/>
          <w:szCs w:val="24"/>
        </w:rPr>
        <w:t>ing the correct structure and mission will empower culture to come along with it (Bell and Tucker 2021, p. 4). Holding all-staff meetings where Peer Navigators and clients share their stories makes lived experience the moral compass of Fortune and re-establishes the identity of the Fortune Family from the ground up.</w:t>
      </w:r>
    </w:p>
    <w:p w:rsidR="0073576D" w:rsidRPr="0073576D" w:rsidP="0073576D" w14:paraId="112CC9B7" w14:textId="0CE8B424">
      <w:pPr>
        <w:spacing w:line="240" w:lineRule="exact"/>
        <w:ind w:firstLine="720"/>
      </w:pPr>
      <w:r w:rsidRPr="0073576D">
        <w:rPr>
          <w:rFonts w:ascii="Arial" w:eastAsia="Arial" w:hAnsi="Arial" w:cs="Arial"/>
          <w:sz w:val="24"/>
          <w:szCs w:val="24"/>
        </w:rPr>
        <w:t>Second, Tricia is supposed to establish participatory decision-making. One of the strongest instruments to restore organizational unity in nonprofits is inclusive decision-making (Ciccarone et al. 2021, p. 2). This cross-generational workforce, consisting of Survivalists and Justice-Minded employees working together, to co-design the compliance response of Fortune, turns a contentious directive into a shared ownership, which results in the organization's missing sense of belonging and purpose being directly restored.</w:t>
      </w:r>
      <w:r w:rsidRPr="0073576D">
        <w:rPr>
          <w:rFonts w:ascii="Arial" w:eastAsia="Arial" w:hAnsi="Arial" w:cs="Arial"/>
          <w:sz w:val="24"/>
          <w:szCs w:val="24"/>
        </w:rPr>
        <w:t xml:space="preserve"> </w:t>
      </w:r>
      <w:r w:rsidRPr="0073576D">
        <w:rPr>
          <w:rFonts w:ascii="Arial" w:eastAsia="Arial" w:hAnsi="Arial" w:cs="Arial"/>
          <w:sz w:val="24"/>
          <w:szCs w:val="24"/>
        </w:rPr>
        <w:t xml:space="preserve">In addition to co-designing to conform to the compliance response, the working group must also be tasked to create a living document of the organization as a participatory workforce within the organization, the Culture Compact--the short, staff-written document coming out of the working group to articulate the shared values of Fortune in a form that is both internally significant and externally defensible against the federal </w:t>
      </w:r>
      <w:r w:rsidRPr="0073576D">
        <w:rPr>
          <w:rFonts w:ascii="Arial" w:eastAsia="Arial" w:hAnsi="Arial" w:cs="Arial"/>
          <w:sz w:val="24"/>
          <w:szCs w:val="24"/>
        </w:rPr>
        <w:t>mandate. Re</w:t>
      </w:r>
      <w:r w:rsidRPr="0073576D">
        <w:rPr>
          <w:rFonts w:ascii="Arial" w:eastAsia="Arial" w:hAnsi="Arial" w:cs="Arial"/>
          <w:sz w:val="24"/>
          <w:szCs w:val="24"/>
        </w:rPr>
        <w:t>-examination and reassertion of this compact in quarterly all-staff meetings would form a ritual that would quickly foster the decline in shared purpose that episodic crises would hasten.</w:t>
      </w:r>
    </w:p>
    <w:p w:rsidR="00036F77" w:rsidRPr="0073576D" w:rsidP="00036F77" w14:paraId="4E836416" w14:textId="77777777">
      <w:pPr>
        <w:rPr>
          <w:rFonts w:ascii="Arial" w:eastAsia="Arial" w:hAnsi="Arial" w:cs="Arial"/>
          <w:b/>
          <w:bCs/>
          <w:sz w:val="24"/>
          <w:szCs w:val="24"/>
        </w:rPr>
      </w:pPr>
      <w:r w:rsidRPr="0073576D">
        <w:rPr>
          <w:rFonts w:ascii="Arial" w:eastAsia="Arial" w:hAnsi="Arial" w:cs="Arial"/>
          <w:b/>
          <w:bCs/>
          <w:sz w:val="24"/>
          <w:szCs w:val="24"/>
        </w:rPr>
        <w:br w:type="page"/>
      </w:r>
    </w:p>
    <w:p w:rsidR="00DD0775" w:rsidRPr="0073576D" w:rsidP="00036F77" w14:paraId="5A64CA6D" w14:textId="3C1D639D">
      <w:pPr>
        <w:spacing w:before="180" w:line="240" w:lineRule="exact"/>
        <w:jc w:val="center"/>
      </w:pPr>
      <w:r w:rsidRPr="0073576D">
        <w:rPr>
          <w:rFonts w:ascii="Arial" w:eastAsia="Arial" w:hAnsi="Arial" w:cs="Arial"/>
          <w:b/>
          <w:bCs/>
          <w:sz w:val="24"/>
          <w:szCs w:val="24"/>
        </w:rPr>
        <w:t>References</w:t>
      </w:r>
    </w:p>
    <w:p w:rsidR="00DD0775" w:rsidRPr="0073576D" w:rsidP="00036F77" w14:paraId="67B690AF" w14:textId="77777777">
      <w:pPr>
        <w:spacing w:line="240" w:lineRule="exact"/>
        <w:ind w:left="720" w:hanging="720"/>
      </w:pPr>
      <w:r w:rsidRPr="0073576D">
        <w:rPr>
          <w:rFonts w:ascii="Arial" w:eastAsia="Arial" w:hAnsi="Arial" w:cs="Arial"/>
          <w:i/>
          <w:iCs/>
          <w:sz w:val="24"/>
          <w:szCs w:val="24"/>
        </w:rPr>
        <w:t xml:space="preserve">Bell, J. (2021). Why staff structure matters (a lot). </w:t>
      </w:r>
      <w:r w:rsidRPr="0073576D">
        <w:rPr>
          <w:rFonts w:ascii="Arial" w:eastAsia="Arial" w:hAnsi="Arial" w:cs="Arial"/>
          <w:i/>
          <w:iCs/>
          <w:sz w:val="24"/>
          <w:szCs w:val="24"/>
        </w:rPr>
        <w:t>CompassPoint</w:t>
      </w:r>
      <w:r w:rsidRPr="0073576D">
        <w:rPr>
          <w:rFonts w:ascii="Arial" w:eastAsia="Arial" w:hAnsi="Arial" w:cs="Arial"/>
          <w:i/>
          <w:iCs/>
          <w:sz w:val="24"/>
          <w:szCs w:val="24"/>
        </w:rPr>
        <w:t>.</w:t>
      </w:r>
    </w:p>
    <w:p w:rsidR="00DD0775" w:rsidRPr="0073576D" w:rsidP="00036F77" w14:paraId="61D988A7" w14:textId="77777777">
      <w:pPr>
        <w:spacing w:line="240" w:lineRule="exact"/>
        <w:ind w:left="720" w:hanging="720"/>
      </w:pPr>
      <w:r w:rsidRPr="0073576D">
        <w:rPr>
          <w:rFonts w:ascii="Arial" w:eastAsia="Arial" w:hAnsi="Arial" w:cs="Arial"/>
          <w:i/>
          <w:iCs/>
          <w:sz w:val="24"/>
          <w:szCs w:val="24"/>
        </w:rPr>
        <w:t xml:space="preserve">Bell, J., &amp; Tucker, M. (2021). Three strategy illusions justice-committed organizations can no longer afford. </w:t>
      </w:r>
      <w:r w:rsidRPr="0073576D">
        <w:rPr>
          <w:rFonts w:ascii="Arial" w:eastAsia="Arial" w:hAnsi="Arial" w:cs="Arial"/>
          <w:i/>
          <w:iCs/>
          <w:sz w:val="24"/>
          <w:szCs w:val="24"/>
        </w:rPr>
        <w:t>CompassPoint</w:t>
      </w:r>
      <w:r w:rsidRPr="0073576D">
        <w:rPr>
          <w:rFonts w:ascii="Arial" w:eastAsia="Arial" w:hAnsi="Arial" w:cs="Arial"/>
          <w:i/>
          <w:iCs/>
          <w:sz w:val="24"/>
          <w:szCs w:val="24"/>
        </w:rPr>
        <w:t>.</w:t>
      </w:r>
    </w:p>
    <w:p w:rsidR="00DD0775" w:rsidRPr="0073576D" w:rsidP="00036F77" w14:paraId="715C4AE7" w14:textId="77777777">
      <w:pPr>
        <w:spacing w:line="240" w:lineRule="exact"/>
        <w:ind w:left="720" w:hanging="720"/>
      </w:pPr>
      <w:r w:rsidRPr="0073576D">
        <w:rPr>
          <w:rFonts w:ascii="Arial" w:eastAsia="Arial" w:hAnsi="Arial" w:cs="Arial"/>
          <w:i/>
          <w:iCs/>
          <w:sz w:val="24"/>
          <w:szCs w:val="24"/>
        </w:rPr>
        <w:t xml:space="preserve">Bell, J., &amp; Tucker, M. (2021). Strategy &amp; design fuel culture (not the other way around). </w:t>
      </w:r>
      <w:r w:rsidRPr="0073576D">
        <w:rPr>
          <w:rFonts w:ascii="Arial" w:eastAsia="Arial" w:hAnsi="Arial" w:cs="Arial"/>
          <w:i/>
          <w:iCs/>
          <w:sz w:val="24"/>
          <w:szCs w:val="24"/>
        </w:rPr>
        <w:t>CompassPoint</w:t>
      </w:r>
      <w:r w:rsidRPr="0073576D">
        <w:rPr>
          <w:rFonts w:ascii="Arial" w:eastAsia="Arial" w:hAnsi="Arial" w:cs="Arial"/>
          <w:i/>
          <w:iCs/>
          <w:sz w:val="24"/>
          <w:szCs w:val="24"/>
        </w:rPr>
        <w:t>.</w:t>
      </w:r>
    </w:p>
    <w:p w:rsidR="00DD0775" w:rsidRPr="0073576D" w:rsidP="00036F77" w14:paraId="7CB270C2" w14:textId="77777777">
      <w:pPr>
        <w:spacing w:line="240" w:lineRule="exact"/>
        <w:ind w:left="720" w:hanging="720"/>
      </w:pPr>
      <w:r w:rsidRPr="0073576D">
        <w:rPr>
          <w:rFonts w:ascii="Arial" w:eastAsia="Arial" w:hAnsi="Arial" w:cs="Arial"/>
          <w:i/>
          <w:iCs/>
          <w:sz w:val="24"/>
          <w:szCs w:val="24"/>
        </w:rPr>
        <w:t>Carucci, R., &amp; Shappell, E. (2021). Design your organization to match your strategy. Harvard Business Review.</w:t>
      </w:r>
    </w:p>
    <w:p w:rsidR="00DD0775" w:rsidRPr="0073576D" w:rsidP="00036F77" w14:paraId="649CB198" w14:textId="77777777">
      <w:pPr>
        <w:spacing w:line="240" w:lineRule="exact"/>
        <w:ind w:left="720" w:hanging="720"/>
      </w:pPr>
      <w:r w:rsidRPr="0073576D">
        <w:rPr>
          <w:rFonts w:ascii="Arial" w:eastAsia="Arial" w:hAnsi="Arial" w:cs="Arial"/>
          <w:i/>
          <w:iCs/>
          <w:sz w:val="24"/>
          <w:szCs w:val="24"/>
        </w:rPr>
        <w:t>Ciccarone, D., et al. (2021). Five ways that nonprofits can make decision-making more inclusive—and more effective. Stanford Social Innovation Review.</w:t>
      </w:r>
    </w:p>
    <w:p w:rsidR="00DD0775" w:rsidRPr="0073576D" w:rsidP="00036F77" w14:paraId="6A55FC71" w14:textId="77777777">
      <w:pPr>
        <w:spacing w:line="240" w:lineRule="exact"/>
        <w:ind w:left="720" w:hanging="720"/>
      </w:pPr>
      <w:r w:rsidRPr="0073576D">
        <w:rPr>
          <w:rFonts w:ascii="Arial" w:eastAsia="Arial" w:hAnsi="Arial" w:cs="Arial"/>
          <w:i/>
          <w:iCs/>
          <w:sz w:val="24"/>
          <w:szCs w:val="24"/>
        </w:rPr>
        <w:t>Hill, L. (2020). Building an effective team. Harvard Business Publishing.</w:t>
      </w:r>
    </w:p>
    <w:p w:rsidR="00DD0775" w:rsidRPr="0073576D" w:rsidP="00036F77" w14:paraId="7FC26E49" w14:textId="77777777">
      <w:pPr>
        <w:spacing w:line="240" w:lineRule="exact"/>
        <w:ind w:left="720" w:hanging="720"/>
      </w:pPr>
      <w:r w:rsidRPr="0073576D">
        <w:rPr>
          <w:rFonts w:ascii="Arial" w:eastAsia="Arial" w:hAnsi="Arial" w:cs="Arial"/>
          <w:i/>
          <w:iCs/>
          <w:sz w:val="24"/>
          <w:szCs w:val="24"/>
        </w:rPr>
        <w:t>Imani, N., Wong, A., &amp; Ahuja, R. (2022). Management in a changing world. [Course text].</w:t>
      </w:r>
    </w:p>
    <w:p w:rsidR="00DD0775" w:rsidRPr="0073576D" w:rsidP="00036F77" w14:paraId="610DF4A8" w14:textId="77777777">
      <w:pPr>
        <w:spacing w:line="240" w:lineRule="exact"/>
        <w:ind w:left="720" w:hanging="720"/>
      </w:pPr>
      <w:r w:rsidRPr="0073576D">
        <w:rPr>
          <w:rFonts w:ascii="Arial" w:eastAsia="Arial" w:hAnsi="Arial" w:cs="Arial"/>
          <w:i/>
          <w:iCs/>
          <w:sz w:val="24"/>
          <w:szCs w:val="24"/>
        </w:rPr>
        <w:t>Phillips, K. W. (2014). How diversity makes us smarter. Scientific American, 311(4).</w:t>
      </w:r>
    </w:p>
    <w:p w:rsidR="00DD0775" w:rsidP="00036F77" w14:paraId="6F6FC0E6" w14:textId="77777777">
      <w:pPr>
        <w:spacing w:line="240" w:lineRule="exact"/>
        <w:ind w:left="720" w:hanging="720"/>
      </w:pPr>
      <w:r w:rsidRPr="0073576D">
        <w:rPr>
          <w:rFonts w:ascii="Arial" w:eastAsia="Arial" w:hAnsi="Arial" w:cs="Arial"/>
          <w:i/>
          <w:iCs/>
          <w:sz w:val="24"/>
          <w:szCs w:val="24"/>
        </w:rPr>
        <w:t>Satterstrom</w:t>
      </w:r>
      <w:r w:rsidRPr="0073576D">
        <w:rPr>
          <w:rFonts w:ascii="Arial" w:eastAsia="Arial" w:hAnsi="Arial" w:cs="Arial"/>
          <w:i/>
          <w:iCs/>
          <w:sz w:val="24"/>
          <w:szCs w:val="24"/>
        </w:rPr>
        <w:t>, P. (n.d.). Congruence model components &amp; key considerations. NYU Wagner M&amp;L Course.</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4"/>
        <w:szCs w:val="24"/>
      </w:rPr>
      <w:id w:val="366426213"/>
      <w:docPartObj>
        <w:docPartGallery w:val="Page Numbers (Top of Page)"/>
        <w:docPartUnique/>
      </w:docPartObj>
    </w:sdtPr>
    <w:sdtEndPr>
      <w:rPr>
        <w:noProof/>
      </w:rPr>
    </w:sdtEndPr>
    <w:sdtContent>
      <w:p w:rsidR="00036F77" w:rsidRPr="00036F77" w14:paraId="7F1BA91A" w14:textId="4E748EC0">
        <w:pPr>
          <w:pStyle w:val="Header"/>
          <w:jc w:val="right"/>
          <w:rPr>
            <w:sz w:val="24"/>
            <w:szCs w:val="24"/>
          </w:rPr>
        </w:pPr>
        <w:r w:rsidRPr="00036F77">
          <w:rPr>
            <w:sz w:val="24"/>
            <w:szCs w:val="24"/>
          </w:rPr>
          <w:fldChar w:fldCharType="begin"/>
        </w:r>
        <w:r w:rsidRPr="00036F77">
          <w:rPr>
            <w:sz w:val="24"/>
            <w:szCs w:val="24"/>
          </w:rPr>
          <w:instrText xml:space="preserve"> PAGE   \* MERGEFORMAT </w:instrText>
        </w:r>
        <w:r w:rsidRPr="00036F77">
          <w:rPr>
            <w:sz w:val="24"/>
            <w:szCs w:val="24"/>
          </w:rPr>
          <w:fldChar w:fldCharType="separate"/>
        </w:r>
        <w:r w:rsidRPr="00036F77">
          <w:rPr>
            <w:noProof/>
            <w:sz w:val="24"/>
            <w:szCs w:val="24"/>
          </w:rPr>
          <w:t>2</w:t>
        </w:r>
        <w:r w:rsidRPr="00036F77">
          <w:rPr>
            <w:noProof/>
            <w:sz w:val="24"/>
            <w:szCs w:val="24"/>
          </w:rPr>
          <w:fldChar w:fldCharType="end"/>
        </w:r>
      </w:p>
    </w:sdtContent>
  </w:sdt>
  <w:p w:rsidR="00036F77" w14:paraId="6161A4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24767D"/>
    <w:multiLevelType w:val="hybridMultilevel"/>
    <w:tmpl w:val="EE1E7F6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405839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75"/>
    <w:rsid w:val="00036F77"/>
    <w:rsid w:val="0073576D"/>
    <w:rsid w:val="00D722FF"/>
    <w:rsid w:val="00D72C21"/>
    <w:rsid w:val="00DD0775"/>
    <w:rsid w:val="00DD7209"/>
  </w:rsids>
  <m:mathPr>
    <m:mathFont m:val="Cambria Math"/>
  </m:mathPr>
  <w:clrSchemeMapping w:bg1="light1" w:t1="dark1" w:bg2="light2" w:t2="dark2" w:accent1="accent1" w:accent2="accent2" w:accent3="accent3" w:accent4="accent4" w:accent5="accent5" w:accent6="accent6" w:hyperlink="hyperlink" w:followedHyperlink="followedHyperlink"/>
  <w14:docId w14:val="5855DE3D"/>
  <w15:docId w15:val="{F5E22919-5307-44F1-B55F-745B9DBE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F77"/>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36F77"/>
    <w:pPr>
      <w:tabs>
        <w:tab w:val="center" w:pos="4513"/>
        <w:tab w:val="right" w:pos="9026"/>
      </w:tabs>
    </w:pPr>
  </w:style>
  <w:style w:type="character" w:customStyle="1" w:styleId="HeaderChar">
    <w:name w:val="Header Char"/>
    <w:basedOn w:val="DefaultParagraphFont"/>
    <w:link w:val="Header"/>
    <w:uiPriority w:val="99"/>
    <w:rsid w:val="00036F77"/>
  </w:style>
  <w:style w:type="paragraph" w:styleId="Footer">
    <w:name w:val="footer"/>
    <w:basedOn w:val="Normal"/>
    <w:link w:val="FooterChar"/>
    <w:uiPriority w:val="99"/>
    <w:unhideWhenUsed/>
    <w:rsid w:val="00036F77"/>
    <w:pPr>
      <w:tabs>
        <w:tab w:val="center" w:pos="4513"/>
        <w:tab w:val="right" w:pos="9026"/>
      </w:tabs>
    </w:pPr>
  </w:style>
  <w:style w:type="character" w:customStyle="1" w:styleId="FooterChar">
    <w:name w:val="Footer Char"/>
    <w:basedOn w:val="DefaultParagraphFont"/>
    <w:link w:val="Footer"/>
    <w:uiPriority w:val="99"/>
    <w:rsid w:val="0003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Rubab Murtaza</cp:lastModifiedBy>
  <cp:revision>3</cp:revision>
  <dcterms:created xsi:type="dcterms:W3CDTF">2026-05-02T19:30:00Z</dcterms:created>
  <dcterms:modified xsi:type="dcterms:W3CDTF">2026-05-02T21:25:00Z</dcterms:modified>
</cp:coreProperties>
</file>