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FBE" w:rsidRDefault="00704FBE" w:rsidP="00704FBE">
      <w:pPr>
        <w:jc w:val="center"/>
        <w:rPr>
          <w:rStyle w:val="Strong"/>
        </w:rPr>
      </w:pPr>
    </w:p>
    <w:p w:rsidR="00704FBE" w:rsidRDefault="00704FBE" w:rsidP="00704FBE">
      <w:pPr>
        <w:jc w:val="center"/>
        <w:rPr>
          <w:rStyle w:val="Strong"/>
        </w:rPr>
      </w:pPr>
    </w:p>
    <w:p w:rsidR="00704FBE" w:rsidRDefault="00704FBE" w:rsidP="00704FBE">
      <w:pPr>
        <w:jc w:val="center"/>
        <w:rPr>
          <w:rStyle w:val="Strong"/>
        </w:rPr>
      </w:pPr>
    </w:p>
    <w:p w:rsidR="00704FBE" w:rsidRDefault="00704FBE" w:rsidP="00704FBE">
      <w:pPr>
        <w:jc w:val="center"/>
        <w:rPr>
          <w:rStyle w:val="Strong"/>
        </w:rPr>
      </w:pPr>
    </w:p>
    <w:p w:rsidR="00EF4169" w:rsidRDefault="00EF4169" w:rsidP="00704FBE">
      <w:pPr>
        <w:jc w:val="center"/>
        <w:rPr>
          <w:rStyle w:val="Strong"/>
        </w:rPr>
      </w:pPr>
    </w:p>
    <w:p w:rsidR="00704FBE" w:rsidRDefault="00704FBE" w:rsidP="00704FBE">
      <w:pPr>
        <w:jc w:val="center"/>
      </w:pPr>
      <w:r>
        <w:rPr>
          <w:rStyle w:val="Strong"/>
        </w:rPr>
        <w:t>Pharmacological Management of Mild Neurocognitive Disorder</w:t>
      </w:r>
    </w:p>
    <w:p w:rsidR="00704FBE" w:rsidRPr="001D181F" w:rsidRDefault="00704FBE" w:rsidP="00704FBE">
      <w:pPr>
        <w:spacing w:after="0" w:line="480" w:lineRule="auto"/>
        <w:jc w:val="center"/>
        <w:rPr>
          <w:rFonts w:eastAsia="Times New Roman" w:cs="Times New Roman"/>
          <w:b/>
          <w:szCs w:val="24"/>
        </w:rPr>
      </w:pPr>
    </w:p>
    <w:p w:rsidR="00704FBE" w:rsidRPr="001D181F" w:rsidRDefault="00704FBE" w:rsidP="00704FBE">
      <w:pPr>
        <w:spacing w:after="0" w:line="480" w:lineRule="auto"/>
        <w:jc w:val="center"/>
        <w:rPr>
          <w:rFonts w:cs="Times New Roman"/>
          <w:b/>
          <w:bCs/>
          <w:szCs w:val="24"/>
        </w:rPr>
      </w:pPr>
      <w:r w:rsidRPr="001D181F">
        <w:rPr>
          <w:rFonts w:cs="Times New Roman"/>
          <w:color w:val="000000"/>
          <w:szCs w:val="24"/>
        </w:rPr>
        <w:t>Author Name</w:t>
      </w:r>
    </w:p>
    <w:p w:rsidR="00704FBE" w:rsidRPr="001D181F" w:rsidRDefault="00704FBE" w:rsidP="00704FBE">
      <w:pPr>
        <w:spacing w:after="0" w:line="480" w:lineRule="auto"/>
        <w:contextualSpacing/>
        <w:jc w:val="center"/>
        <w:rPr>
          <w:rFonts w:cs="Times New Roman"/>
          <w:color w:val="000000"/>
          <w:szCs w:val="24"/>
        </w:rPr>
      </w:pPr>
      <w:r w:rsidRPr="001D181F">
        <w:rPr>
          <w:rFonts w:cs="Times New Roman"/>
          <w:color w:val="000000"/>
          <w:szCs w:val="24"/>
        </w:rPr>
        <w:t>Institution Name</w:t>
      </w:r>
    </w:p>
    <w:p w:rsidR="00704FBE" w:rsidRPr="001D181F" w:rsidRDefault="00704FBE" w:rsidP="00704FBE">
      <w:pPr>
        <w:spacing w:after="0" w:line="480" w:lineRule="auto"/>
        <w:contextualSpacing/>
        <w:jc w:val="center"/>
        <w:rPr>
          <w:rFonts w:cs="Times New Roman"/>
          <w:szCs w:val="24"/>
        </w:rPr>
      </w:pPr>
      <w:r w:rsidRPr="001D181F">
        <w:rPr>
          <w:rFonts w:cs="Times New Roman"/>
          <w:szCs w:val="24"/>
        </w:rPr>
        <w:t>Course Name</w:t>
      </w:r>
    </w:p>
    <w:p w:rsidR="00704FBE" w:rsidRPr="001D181F" w:rsidRDefault="00704FBE" w:rsidP="00704FBE">
      <w:pPr>
        <w:spacing w:after="0" w:line="480" w:lineRule="auto"/>
        <w:contextualSpacing/>
        <w:jc w:val="center"/>
        <w:rPr>
          <w:rFonts w:cs="Times New Roman"/>
          <w:szCs w:val="24"/>
        </w:rPr>
      </w:pPr>
      <w:r w:rsidRPr="001D181F">
        <w:rPr>
          <w:rFonts w:cs="Times New Roman"/>
          <w:szCs w:val="24"/>
        </w:rPr>
        <w:t>Instructor Name</w:t>
      </w:r>
    </w:p>
    <w:p w:rsidR="00704FBE" w:rsidRPr="001D181F" w:rsidRDefault="00704FBE" w:rsidP="00704FBE">
      <w:pPr>
        <w:pStyle w:val="NormalWeb"/>
        <w:spacing w:before="0" w:beforeAutospacing="0" w:after="0" w:afterAutospacing="0" w:line="480" w:lineRule="auto"/>
        <w:jc w:val="center"/>
      </w:pPr>
      <w:r w:rsidRPr="001D181F">
        <w:t>Date</w:t>
      </w:r>
    </w:p>
    <w:p w:rsidR="00704FBE" w:rsidRPr="001D181F" w:rsidRDefault="00704FBE" w:rsidP="00704FBE">
      <w:pPr>
        <w:spacing w:after="0" w:line="480" w:lineRule="auto"/>
        <w:rPr>
          <w:rFonts w:eastAsia="Times New Roman" w:cs="Times New Roman"/>
          <w:szCs w:val="24"/>
        </w:rPr>
      </w:pPr>
      <w:r w:rsidRPr="001D181F">
        <w:rPr>
          <w:szCs w:val="24"/>
        </w:rPr>
        <w:br w:type="page"/>
      </w:r>
    </w:p>
    <w:p w:rsidR="00135D91" w:rsidRDefault="00135D91" w:rsidP="00704FBE">
      <w:pPr>
        <w:jc w:val="center"/>
      </w:pPr>
      <w:r>
        <w:rPr>
          <w:rStyle w:val="Strong"/>
        </w:rPr>
        <w:lastRenderedPageBreak/>
        <w:t xml:space="preserve">Pharmacological Management </w:t>
      </w:r>
      <w:r w:rsidR="00704FBE">
        <w:rPr>
          <w:rStyle w:val="Strong"/>
        </w:rPr>
        <w:t>of Mild Neurocognitive Disorder</w:t>
      </w:r>
    </w:p>
    <w:p w:rsidR="005D5C04" w:rsidRDefault="005D5C04" w:rsidP="005D5C04">
      <w:pPr>
        <w:pStyle w:val="font-claude-response-body"/>
        <w:spacing w:before="0" w:beforeAutospacing="0" w:after="0" w:afterAutospacing="0" w:line="480" w:lineRule="auto"/>
        <w:ind w:firstLine="720"/>
      </w:pPr>
      <w:bookmarkStart w:id="0" w:name="_GoBack"/>
      <w:r w:rsidRPr="005D5C04">
        <w:t xml:space="preserve">The presented case study of an 82-year-old male patient shows the clinical picture that faces the diagnosis of mild neurocognitive disorder (NCD), which is recognized by his progressive deterioration of cognitive functions concerning functional independence, observed through the inability to compute figures during cribbage and an episode of the loss of direction during driving along a familiar route. After undergoing neuropsychological testing, he has been diagnosed with mild NCD. The choice of the most suitable pharmacological tool among the three mentioned, namely lorazepam, olanzapine, and </w:t>
      </w:r>
      <w:proofErr w:type="spellStart"/>
      <w:r w:rsidRPr="005D5C04">
        <w:t>memantine</w:t>
      </w:r>
      <w:proofErr w:type="spellEnd"/>
      <w:r w:rsidRPr="005D5C04">
        <w:t>, will necessitate a considerate assessment of the mechanism of action, approved indications, safety profile in the elderly, and compliance of each of these drugs with the specific clinical picture of this patient.</w:t>
      </w:r>
    </w:p>
    <w:p w:rsidR="00EF4169" w:rsidRDefault="00135D91" w:rsidP="00EF4169">
      <w:pPr>
        <w:pStyle w:val="font-claude-response-body"/>
        <w:spacing w:before="0" w:beforeAutospacing="0" w:after="0" w:afterAutospacing="0" w:line="480" w:lineRule="auto"/>
        <w:rPr>
          <w:rStyle w:val="Strong"/>
        </w:rPr>
      </w:pPr>
      <w:r w:rsidRPr="00704FBE">
        <w:rPr>
          <w:rStyle w:val="Strong"/>
        </w:rPr>
        <w:t>Medication Selection and Rationale</w:t>
      </w:r>
    </w:p>
    <w:p w:rsidR="00EF4169" w:rsidRPr="00EF4169" w:rsidRDefault="00EF4169" w:rsidP="00EF4169">
      <w:pPr>
        <w:pStyle w:val="font-claude-response-body"/>
        <w:spacing w:before="0" w:beforeAutospacing="0" w:after="0" w:afterAutospacing="0" w:line="480" w:lineRule="auto"/>
        <w:ind w:firstLine="720"/>
      </w:pPr>
      <w:r w:rsidRPr="00EF4169">
        <w:t xml:space="preserve">Of the three drugs on the list, the only one that is clinically suitable and reasonably safe to use on this patient is </w:t>
      </w:r>
      <w:proofErr w:type="spellStart"/>
      <w:r w:rsidRPr="00EF4169">
        <w:t>memantine</w:t>
      </w:r>
      <w:proofErr w:type="spellEnd"/>
      <w:r w:rsidRPr="00EF4169">
        <w:t xml:space="preserve">. In the case of neurocognitive decline, </w:t>
      </w:r>
      <w:proofErr w:type="spellStart"/>
      <w:r w:rsidRPr="00EF4169">
        <w:t>memantine</w:t>
      </w:r>
      <w:proofErr w:type="spellEnd"/>
      <w:r w:rsidRPr="00EF4169">
        <w:t xml:space="preserve"> is a specific drug aimed at the NMDA receptor and prevents the excessive activity of glutamate that damages neurons in the long term (</w:t>
      </w:r>
      <w:proofErr w:type="spellStart"/>
      <w:r w:rsidRPr="00EF4169">
        <w:t>Kuns</w:t>
      </w:r>
      <w:proofErr w:type="spellEnd"/>
      <w:r w:rsidRPr="00EF4169">
        <w:t xml:space="preserve"> et al., 2026). It is important to note that although the FDA issued approval of </w:t>
      </w:r>
      <w:proofErr w:type="spellStart"/>
      <w:r w:rsidRPr="00EF4169">
        <w:t>memantine</w:t>
      </w:r>
      <w:proofErr w:type="spellEnd"/>
      <w:r w:rsidRPr="00EF4169">
        <w:t xml:space="preserve"> for moderate-to-severe AD, clinicians often utilize it off-label on patients with early or mild cognitive impairment, as is the case here (</w:t>
      </w:r>
      <w:proofErr w:type="spellStart"/>
      <w:r w:rsidRPr="00EF4169">
        <w:t>Kuns</w:t>
      </w:r>
      <w:proofErr w:type="spellEnd"/>
      <w:r w:rsidRPr="00EF4169">
        <w:t xml:space="preserve"> et al., 2026). None of the current medications has any FDA approval for mild NCDs in particular, which implies that the clinical decision-making process should be informed by the existing evidence and safety risks instead of being a direct indication. </w:t>
      </w:r>
      <w:proofErr w:type="spellStart"/>
      <w:r w:rsidRPr="00EF4169">
        <w:t>Kuns</w:t>
      </w:r>
      <w:proofErr w:type="spellEnd"/>
      <w:r w:rsidRPr="00EF4169">
        <w:t xml:space="preserve"> et al. (2026) also demonstrate that a well-controlled titration schedule up to 10 mg twice a day can achieve significant effects on cognitive functions and behavioral stability in patients with neurocognitive disorders. In this case, </w:t>
      </w:r>
      <w:proofErr w:type="spellStart"/>
      <w:r w:rsidRPr="00EF4169">
        <w:t>memantine</w:t>
      </w:r>
      <w:proofErr w:type="spellEnd"/>
      <w:r w:rsidRPr="00EF4169">
        <w:t xml:space="preserve"> is a thoughtful and evidence-based decision that focuses not only on the cognitive well-being of this patient but on his overall safety as well.</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lastRenderedPageBreak/>
        <w:t>Why the Other Medications Are Not Appropriate</w:t>
      </w:r>
    </w:p>
    <w:p w:rsidR="000A03E3" w:rsidRPr="000A03E3" w:rsidRDefault="000A03E3" w:rsidP="000A03E3">
      <w:pPr>
        <w:spacing w:after="120" w:line="240" w:lineRule="auto"/>
        <w:rPr>
          <w:rFonts w:eastAsia="Times New Roman" w:cs="Times New Roman"/>
          <w:szCs w:val="24"/>
        </w:rPr>
      </w:pPr>
      <w:r w:rsidRPr="000A03E3">
        <w:rPr>
          <w:rFonts w:eastAsia="Times New Roman" w:cs="Times New Roman"/>
          <w:szCs w:val="24"/>
        </w:rPr>
        <w:t>This patient should not be treated with Lorazepam. According to the 2023 American Geriatrics Society Beers Criteria, benzodiazepines are dangerous in elderly people. The reason is that older individuals are more sensitive to drugs and slower to process them. Consequently, such drugs have the potential to worsen the chances of confusion, memory impairment, falls, fractures, and even car accidents. It is also indicated that an over-the-course of more than several weeks of lorazepam use increases the risk of developing Alzheimer's and the long-term difficulties with memory and attention (Benzodiazepine Information Coalition, 2024). Here, the patient already experiences cognitive impairment and has become lost while driving. The administration of lorazepam would only aggravate his symptoms and put both him and others at risk.</w:t>
      </w:r>
    </w:p>
    <w:p w:rsidR="000A03E3" w:rsidRPr="000A03E3" w:rsidRDefault="000A03E3" w:rsidP="000A03E3">
      <w:pPr>
        <w:spacing w:after="120" w:line="240" w:lineRule="auto"/>
        <w:rPr>
          <w:rFonts w:eastAsia="Times New Roman" w:cs="Times New Roman"/>
          <w:szCs w:val="24"/>
        </w:rPr>
      </w:pP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Olanzapine would not suit this patient as well. The FDA has called alert about higher mortality in aged patients with dementia who are given atypical antipsychotics, where studies have indicated that the risk of death is 1.6 to 1.7 times higher than with the placebo, mostly due to cardiovascular or infectious causes (</w:t>
      </w:r>
      <w:proofErr w:type="spellStart"/>
      <w:r w:rsidRPr="00E74405">
        <w:rPr>
          <w:rFonts w:eastAsia="Times New Roman" w:cs="Times New Roman"/>
          <w:szCs w:val="24"/>
        </w:rPr>
        <w:t>Lenzer</w:t>
      </w:r>
      <w:proofErr w:type="spellEnd"/>
      <w:r w:rsidRPr="00E74405">
        <w:rPr>
          <w:rFonts w:eastAsia="Times New Roman" w:cs="Times New Roman"/>
          <w:szCs w:val="24"/>
        </w:rPr>
        <w:t>, 2005). It is also linked to a higher susceptibility of cerebrovascular events and is not proven to treat dementia-related psychosis (Psychiatric News, 2004). As this patient has no signs of psychosis or gross behavioral abuses, the dangers of the use of olanzapine far more than the possible advantages, and the us</w:t>
      </w:r>
      <w:r w:rsidRPr="00704FBE">
        <w:rPr>
          <w:rFonts w:eastAsia="Times New Roman" w:cs="Times New Roman"/>
          <w:szCs w:val="24"/>
        </w:rPr>
        <w:t>e of olanzapine is unjustified.</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Dosing Schedule and Therapeutic Endpoint</w:t>
      </w:r>
    </w:p>
    <w:p w:rsidR="00E74405" w:rsidRPr="00E74405" w:rsidRDefault="00E74405" w:rsidP="00704FBE">
      <w:pPr>
        <w:spacing w:after="0" w:line="480" w:lineRule="auto"/>
        <w:ind w:firstLine="720"/>
        <w:rPr>
          <w:rFonts w:eastAsia="Times New Roman" w:cs="Times New Roman"/>
          <w:szCs w:val="24"/>
        </w:rPr>
      </w:pPr>
      <w:r w:rsidRPr="00E74405">
        <w:rPr>
          <w:rFonts w:eastAsia="Times New Roman" w:cs="Times New Roman"/>
          <w:szCs w:val="24"/>
        </w:rPr>
        <w:t xml:space="preserve">Having chosen </w:t>
      </w:r>
      <w:proofErr w:type="spellStart"/>
      <w:r w:rsidRPr="00E74405">
        <w:rPr>
          <w:rFonts w:eastAsia="Times New Roman" w:cs="Times New Roman"/>
          <w:szCs w:val="24"/>
        </w:rPr>
        <w:t>memantine</w:t>
      </w:r>
      <w:proofErr w:type="spellEnd"/>
      <w:r w:rsidRPr="00E74405">
        <w:rPr>
          <w:rFonts w:eastAsia="Times New Roman" w:cs="Times New Roman"/>
          <w:szCs w:val="24"/>
        </w:rPr>
        <w:t xml:space="preserve">, it is necessary to determine a correct dosing schedule. The typical immediate-release dose starts at 5mg per day with 5mg increments per week up to 10mg twice per day (Pope, 2025). The highest amount of the drug within a person with severely impaired kidneys should not rise above 5 mg two times in a single day (Pope, 2025). Assessment of renal function should thus be done before the initiation and during treatment. The treatment objective is not a disease reversal but stabilization or a more gradual decline of cognition. The tools, such as the </w:t>
      </w:r>
      <w:proofErr w:type="spellStart"/>
      <w:r w:rsidRPr="00E74405">
        <w:rPr>
          <w:rFonts w:eastAsia="Times New Roman" w:cs="Times New Roman"/>
          <w:szCs w:val="24"/>
        </w:rPr>
        <w:t>MoCA</w:t>
      </w:r>
      <w:proofErr w:type="spellEnd"/>
      <w:r w:rsidRPr="00E74405">
        <w:rPr>
          <w:rFonts w:eastAsia="Times New Roman" w:cs="Times New Roman"/>
          <w:szCs w:val="24"/>
        </w:rPr>
        <w:t xml:space="preserve"> or MMSE, should be used to consider progress every three to six months, with the emphasis on functional independence and quality of life (Pope, 2025). This </w:t>
      </w:r>
      <w:r w:rsidRPr="00E74405">
        <w:rPr>
          <w:rFonts w:eastAsia="Times New Roman" w:cs="Times New Roman"/>
          <w:szCs w:val="24"/>
        </w:rPr>
        <w:lastRenderedPageBreak/>
        <w:t>organized stepwise titration and monitoring methodology helps in maintaining safety and ach</w:t>
      </w:r>
      <w:r w:rsidRPr="00704FBE">
        <w:rPr>
          <w:rFonts w:eastAsia="Times New Roman" w:cs="Times New Roman"/>
          <w:szCs w:val="24"/>
        </w:rPr>
        <w:t>ievable treatment expectations.</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Labs, Diagnostics, and Monitoring</w:t>
      </w:r>
    </w:p>
    <w:p w:rsidR="00E74405" w:rsidRPr="00E74405" w:rsidRDefault="00E74405" w:rsidP="00940552">
      <w:pPr>
        <w:spacing w:after="0" w:line="480" w:lineRule="auto"/>
        <w:ind w:firstLine="720"/>
        <w:rPr>
          <w:rFonts w:eastAsia="Times New Roman" w:cs="Times New Roman"/>
          <w:szCs w:val="24"/>
        </w:rPr>
      </w:pPr>
      <w:r w:rsidRPr="00E74405">
        <w:rPr>
          <w:rFonts w:eastAsia="Times New Roman" w:cs="Times New Roman"/>
          <w:szCs w:val="24"/>
        </w:rPr>
        <w:t xml:space="preserve">Baseline diagnostics must be carried out before starting </w:t>
      </w:r>
      <w:proofErr w:type="spellStart"/>
      <w:r w:rsidRPr="00E74405">
        <w:rPr>
          <w:rFonts w:eastAsia="Times New Roman" w:cs="Times New Roman"/>
          <w:szCs w:val="24"/>
        </w:rPr>
        <w:t>memantine</w:t>
      </w:r>
      <w:proofErr w:type="spellEnd"/>
      <w:r w:rsidRPr="00E74405">
        <w:rPr>
          <w:rFonts w:eastAsia="Times New Roman" w:cs="Times New Roman"/>
          <w:szCs w:val="24"/>
        </w:rPr>
        <w:t xml:space="preserve"> in order to have safe prescribing. Renal function tests, including </w:t>
      </w:r>
      <w:proofErr w:type="spellStart"/>
      <w:r w:rsidRPr="00E74405">
        <w:rPr>
          <w:rFonts w:eastAsia="Times New Roman" w:cs="Times New Roman"/>
          <w:szCs w:val="24"/>
        </w:rPr>
        <w:t>eGFR</w:t>
      </w:r>
      <w:proofErr w:type="spellEnd"/>
      <w:r w:rsidRPr="00E74405">
        <w:rPr>
          <w:rFonts w:eastAsia="Times New Roman" w:cs="Times New Roman"/>
          <w:szCs w:val="24"/>
        </w:rPr>
        <w:t xml:space="preserve">, should be reviewed prior to initiation (Khalid &amp; Kumar, 2025). An extensive metabolic profile, complete blood analysis, thyroid profile, and vitamin B12 level must also be ordered to exclude reversible causes of cognitive impairment (Thomas and </w:t>
      </w:r>
      <w:proofErr w:type="spellStart"/>
      <w:r w:rsidRPr="00E74405">
        <w:rPr>
          <w:rFonts w:eastAsia="Times New Roman" w:cs="Times New Roman"/>
          <w:szCs w:val="24"/>
        </w:rPr>
        <w:t>Grossberg</w:t>
      </w:r>
      <w:proofErr w:type="spellEnd"/>
      <w:r w:rsidRPr="00E74405">
        <w:rPr>
          <w:rFonts w:eastAsia="Times New Roman" w:cs="Times New Roman"/>
          <w:szCs w:val="24"/>
        </w:rPr>
        <w:t>, 2009). The brain imaging, including CT or MRI, can be regarded as a possible measure to rul</w:t>
      </w:r>
      <w:r w:rsidRPr="00704FBE">
        <w:rPr>
          <w:rFonts w:eastAsia="Times New Roman" w:cs="Times New Roman"/>
          <w:szCs w:val="24"/>
        </w:rPr>
        <w:t xml:space="preserve">e out structural abnormalities. </w:t>
      </w:r>
      <w:r w:rsidR="00940552" w:rsidRPr="00940552">
        <w:rPr>
          <w:rFonts w:eastAsia="Times New Roman" w:cs="Times New Roman"/>
          <w:szCs w:val="24"/>
        </w:rPr>
        <w:t>Cognitive assessment, assessment of functional status, and monitoring of adverse effects such as dizziness and confusion should be included in the ongoing monitoring with regular assessment of renal functioning to provide safe and proper dosing over the period.</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Patient and Caregiver Education</w:t>
      </w:r>
    </w:p>
    <w:p w:rsidR="0085680F" w:rsidRPr="0085680F" w:rsidRDefault="00E74405" w:rsidP="0085680F">
      <w:pPr>
        <w:spacing w:after="0" w:line="480" w:lineRule="auto"/>
        <w:ind w:firstLine="720"/>
        <w:rPr>
          <w:rFonts w:eastAsia="Times New Roman" w:cs="Times New Roman"/>
          <w:szCs w:val="24"/>
        </w:rPr>
      </w:pPr>
      <w:r w:rsidRPr="00E74405">
        <w:rPr>
          <w:rFonts w:eastAsia="Times New Roman" w:cs="Times New Roman"/>
          <w:szCs w:val="24"/>
        </w:rPr>
        <w:t>Treatment requires educating the patient as well as his family. They should be advised to stick to the titration schedule and not to take twice the doses when missed. When multiple doses are missed, no drug should be resumed without a medical practitioner (</w:t>
      </w:r>
      <w:proofErr w:type="spellStart"/>
      <w:r w:rsidRPr="00E74405">
        <w:rPr>
          <w:rFonts w:eastAsia="Times New Roman" w:cs="Times New Roman"/>
          <w:szCs w:val="24"/>
        </w:rPr>
        <w:t>Memantine</w:t>
      </w:r>
      <w:proofErr w:type="spellEnd"/>
      <w:r w:rsidRPr="00E74405">
        <w:rPr>
          <w:rFonts w:eastAsia="Times New Roman" w:cs="Times New Roman"/>
          <w:szCs w:val="24"/>
        </w:rPr>
        <w:t>, 2026). Typical side effects are dizziness, headache, confusion, and insomnia, whereas more severe side effects need to be communicated in a t</w:t>
      </w:r>
      <w:r w:rsidR="00C57A0E">
        <w:rPr>
          <w:rFonts w:eastAsia="Times New Roman" w:cs="Times New Roman"/>
          <w:szCs w:val="24"/>
        </w:rPr>
        <w:t>imely manner (</w:t>
      </w:r>
      <w:proofErr w:type="spellStart"/>
      <w:r w:rsidR="00C57A0E">
        <w:rPr>
          <w:rFonts w:eastAsia="Times New Roman" w:cs="Times New Roman"/>
          <w:szCs w:val="24"/>
        </w:rPr>
        <w:t>Memantine</w:t>
      </w:r>
      <w:proofErr w:type="spellEnd"/>
      <w:r w:rsidR="00C57A0E">
        <w:rPr>
          <w:rFonts w:eastAsia="Times New Roman" w:cs="Times New Roman"/>
          <w:szCs w:val="24"/>
        </w:rPr>
        <w:t xml:space="preserve">, 2026). </w:t>
      </w:r>
      <w:r w:rsidR="0085680F" w:rsidRPr="0085680F">
        <w:rPr>
          <w:rFonts w:eastAsia="Times New Roman" w:cs="Times New Roman"/>
          <w:szCs w:val="24"/>
        </w:rPr>
        <w:t xml:space="preserve">Since this patient is sensitive emotionally about his diagnosis, any educational discussions should be supportively framed via encouraging him that </w:t>
      </w:r>
      <w:proofErr w:type="spellStart"/>
      <w:r w:rsidR="0085680F" w:rsidRPr="0085680F">
        <w:rPr>
          <w:rFonts w:eastAsia="Times New Roman" w:cs="Times New Roman"/>
          <w:szCs w:val="24"/>
        </w:rPr>
        <w:t>memantine</w:t>
      </w:r>
      <w:proofErr w:type="spellEnd"/>
      <w:r w:rsidR="0085680F" w:rsidRPr="0085680F">
        <w:rPr>
          <w:rFonts w:eastAsia="Times New Roman" w:cs="Times New Roman"/>
          <w:szCs w:val="24"/>
        </w:rPr>
        <w:t xml:space="preserve"> is meant to allow him to stay independent and active in his everyday life and not as a sort of recognition of complete, irreversible deterioration. </w:t>
      </w:r>
    </w:p>
    <w:p w:rsidR="0085680F" w:rsidRPr="0085680F" w:rsidRDefault="0085680F" w:rsidP="0085680F">
      <w:pPr>
        <w:spacing w:after="0" w:line="480" w:lineRule="auto"/>
        <w:rPr>
          <w:rFonts w:eastAsia="Times New Roman" w:cs="Times New Roman"/>
          <w:b/>
          <w:szCs w:val="24"/>
        </w:rPr>
      </w:pPr>
      <w:r w:rsidRPr="0085680F">
        <w:rPr>
          <w:rFonts w:eastAsia="Times New Roman" w:cs="Times New Roman"/>
          <w:b/>
          <w:szCs w:val="24"/>
        </w:rPr>
        <w:t>Interdisciplinary Collaboration</w:t>
      </w:r>
    </w:p>
    <w:p w:rsidR="00E74405" w:rsidRPr="00E74405" w:rsidRDefault="0085680F" w:rsidP="0085680F">
      <w:pPr>
        <w:spacing w:after="0" w:line="480" w:lineRule="auto"/>
        <w:ind w:firstLine="720"/>
        <w:rPr>
          <w:rFonts w:eastAsia="Times New Roman" w:cs="Times New Roman"/>
          <w:szCs w:val="24"/>
        </w:rPr>
      </w:pPr>
      <w:r w:rsidRPr="0085680F">
        <w:rPr>
          <w:rFonts w:eastAsia="Times New Roman" w:cs="Times New Roman"/>
          <w:szCs w:val="24"/>
        </w:rPr>
        <w:lastRenderedPageBreak/>
        <w:t>Mild cases of NCD need a multidisciplinary approach to manage them. The care team might consist of a primary care provider, neurologist, geriatric specialist, neuropsychologist, and pharmacist</w:t>
      </w:r>
      <w:r w:rsidR="00E74405" w:rsidRPr="00E74405">
        <w:rPr>
          <w:rFonts w:eastAsia="Times New Roman" w:cs="Times New Roman"/>
          <w:szCs w:val="24"/>
        </w:rPr>
        <w:t xml:space="preserve"> (Heikkila, 2024). Occupational and speech therapies can also be a part of ensuring that the day-to-day functioning is maintained. Relatives and family members are important in the identification of the symptoms, medication adherence, and reporting of changes to the health care provider (Heikkila, 2024). This type of cooperation guarantees coordinated care and allows for meeting the medical and functional requirements of the patient.</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Nonadherence Assessment and Alternative Treatment Plan</w:t>
      </w:r>
    </w:p>
    <w:p w:rsidR="00E74405" w:rsidRPr="00E74405" w:rsidRDefault="00C57A0E" w:rsidP="00C57A0E">
      <w:pPr>
        <w:spacing w:after="0" w:line="480" w:lineRule="auto"/>
        <w:ind w:firstLine="720"/>
        <w:rPr>
          <w:rFonts w:eastAsia="Times New Roman" w:cs="Times New Roman"/>
          <w:szCs w:val="24"/>
        </w:rPr>
      </w:pPr>
      <w:r w:rsidRPr="00C57A0E">
        <w:rPr>
          <w:rFonts w:eastAsia="Times New Roman" w:cs="Times New Roman"/>
          <w:szCs w:val="24"/>
        </w:rPr>
        <w:t>In the current patient, nonadherence is a valid and predictable issue that should be proactively managed because of his forgetfulness, resistance to his diagnosis, and his emotional sensitivity. An in-depth examination ought to examine his capacity to handle drugs on his own and determine the degree of family support at hand, given the fact that symptoms such as memory loss and denial of the condition are the most probable hurdle in the given case. Simple measures like pill boxes, putting drugs in noticeable places, and caregiver-initiated interventions have been shown to be very effective, and Harris et al. (2025) show that straightforward caregiver intervention is always a better option than a reminder based on technology only. Burgos-Alonso et al. (2024) also demonstrate that systematic follow-up and easier medication routines positively impact long-term adherence. In case compliance remains low, a transition to a liquid formulation or enhancing supervision must be a possibility to use and supplement this with non-pharmacological methods of treatment like cognitive stimulation and organized socialization, which should help form a more comprehensive and p</w:t>
      </w:r>
      <w:r>
        <w:rPr>
          <w:rFonts w:eastAsia="Times New Roman" w:cs="Times New Roman"/>
          <w:szCs w:val="24"/>
        </w:rPr>
        <w:t>atient-focused treatment plan</w:t>
      </w:r>
      <w:r w:rsidR="00E74405" w:rsidRPr="00E74405">
        <w:rPr>
          <w:rFonts w:eastAsia="Times New Roman" w:cs="Times New Roman"/>
          <w:szCs w:val="24"/>
        </w:rPr>
        <w:t>.</w:t>
      </w:r>
    </w:p>
    <w:p w:rsidR="002C46AA" w:rsidRPr="00704FBE" w:rsidRDefault="002C46AA" w:rsidP="00704FBE">
      <w:pPr>
        <w:pStyle w:val="Heading3"/>
        <w:spacing w:before="0" w:beforeAutospacing="0" w:after="0" w:afterAutospacing="0" w:line="480" w:lineRule="auto"/>
        <w:rPr>
          <w:sz w:val="24"/>
          <w:szCs w:val="24"/>
        </w:rPr>
      </w:pPr>
      <w:r w:rsidRPr="00704FBE">
        <w:rPr>
          <w:sz w:val="24"/>
          <w:szCs w:val="24"/>
        </w:rPr>
        <w:t>Conclusion</w:t>
      </w:r>
    </w:p>
    <w:p w:rsidR="00E74405" w:rsidRPr="00E74405" w:rsidRDefault="00C57A0E" w:rsidP="00C57A0E">
      <w:pPr>
        <w:spacing w:after="0" w:line="480" w:lineRule="auto"/>
        <w:ind w:firstLine="720"/>
        <w:rPr>
          <w:rFonts w:eastAsia="Times New Roman" w:cs="Times New Roman"/>
          <w:szCs w:val="24"/>
        </w:rPr>
      </w:pPr>
      <w:r w:rsidRPr="00C57A0E">
        <w:rPr>
          <w:rFonts w:eastAsia="Times New Roman" w:cs="Times New Roman"/>
          <w:szCs w:val="24"/>
        </w:rPr>
        <w:lastRenderedPageBreak/>
        <w:t xml:space="preserve">In this instance, with a mild NCD in an elderly male patient of 82 years, </w:t>
      </w:r>
      <w:proofErr w:type="spellStart"/>
      <w:r w:rsidRPr="00C57A0E">
        <w:rPr>
          <w:rFonts w:eastAsia="Times New Roman" w:cs="Times New Roman"/>
          <w:szCs w:val="24"/>
        </w:rPr>
        <w:t>memantine</w:t>
      </w:r>
      <w:proofErr w:type="spellEnd"/>
      <w:r w:rsidRPr="00C57A0E">
        <w:rPr>
          <w:rFonts w:eastAsia="Times New Roman" w:cs="Times New Roman"/>
          <w:szCs w:val="24"/>
        </w:rPr>
        <w:t xml:space="preserve"> is the best deal option because of its mechanism of action and the excellent safety profile compared to the other options. Both lorazepam and olanzapine are inappropriate due to their proven potential to progress cognitive decline and risk mortality among the elderly. Proper dosing, regular follow up, sufficient education of both the patient and his family, and actual interdisciplinary cooperation are key aspects of effective management. Elevating the risk of nonadherence with proactive, practical, patient-centered interventions is also essential to maintain the independence and </w:t>
      </w:r>
      <w:r>
        <w:rPr>
          <w:rFonts w:eastAsia="Times New Roman" w:cs="Times New Roman"/>
          <w:szCs w:val="24"/>
        </w:rPr>
        <w:t>quality of life of this patient</w:t>
      </w:r>
      <w:r w:rsidR="00E74405" w:rsidRPr="00E74405">
        <w:rPr>
          <w:rFonts w:eastAsia="Times New Roman" w:cs="Times New Roman"/>
          <w:szCs w:val="24"/>
        </w:rPr>
        <w:t>.</w:t>
      </w:r>
    </w:p>
    <w:p w:rsidR="002C46AA" w:rsidRDefault="002C46AA" w:rsidP="00E74405">
      <w:pPr>
        <w:spacing w:after="0" w:line="480" w:lineRule="auto"/>
        <w:rPr>
          <w:rStyle w:val="Strong"/>
          <w:rFonts w:eastAsia="Times New Roman" w:cs="Times New Roman"/>
          <w:szCs w:val="24"/>
        </w:rPr>
      </w:pPr>
      <w:r>
        <w:rPr>
          <w:rStyle w:val="Strong"/>
        </w:rPr>
        <w:br w:type="page"/>
      </w:r>
    </w:p>
    <w:bookmarkEnd w:id="0"/>
    <w:p w:rsidR="00135D91" w:rsidRDefault="00135D91" w:rsidP="00E74405">
      <w:pPr>
        <w:pStyle w:val="font-claude-response-body"/>
        <w:spacing w:before="0" w:beforeAutospacing="0" w:after="0" w:afterAutospacing="0" w:line="480" w:lineRule="auto"/>
        <w:jc w:val="center"/>
      </w:pPr>
      <w:r>
        <w:rPr>
          <w:rStyle w:val="Strong"/>
        </w:rPr>
        <w:lastRenderedPageBreak/>
        <w:t>References</w:t>
      </w:r>
    </w:p>
    <w:p w:rsidR="002C46AA" w:rsidRPr="002C46AA" w:rsidRDefault="002C46AA" w:rsidP="00E74405">
      <w:pPr>
        <w:pStyle w:val="Bibliography"/>
      </w:pPr>
      <w:r w:rsidRPr="002C46AA">
        <w:t xml:space="preserve">Benzodiazepine Information Coalition. (2024). Impact on the Older Adult Population. </w:t>
      </w:r>
      <w:r w:rsidRPr="002C46AA">
        <w:rPr>
          <w:i/>
          <w:iCs/>
        </w:rPr>
        <w:t>Benzodiazepine Information Coalition</w:t>
      </w:r>
      <w:r w:rsidRPr="002C46AA">
        <w:t xml:space="preserve">. </w:t>
      </w:r>
      <w:hyperlink r:id="rId6" w:history="1">
        <w:r w:rsidR="00940552" w:rsidRPr="005E6C5A">
          <w:rPr>
            <w:rStyle w:val="Hyperlink"/>
          </w:rPr>
          <w:t>https://www.benzoinfo.com/benzodiazepine-older-adults-impact/</w:t>
        </w:r>
      </w:hyperlink>
      <w:r w:rsidR="00940552">
        <w:t xml:space="preserve"> </w:t>
      </w:r>
    </w:p>
    <w:p w:rsidR="002C46AA" w:rsidRPr="002C46AA" w:rsidRDefault="002C46AA" w:rsidP="00E74405">
      <w:pPr>
        <w:pStyle w:val="Bibliography"/>
      </w:pPr>
      <w:r w:rsidRPr="002C46AA">
        <w:t xml:space="preserve">Burgos-Alonso, N., </w:t>
      </w:r>
      <w:proofErr w:type="spellStart"/>
      <w:r w:rsidRPr="002C46AA">
        <w:t>Torrecilla</w:t>
      </w:r>
      <w:proofErr w:type="spellEnd"/>
      <w:r w:rsidRPr="002C46AA">
        <w:t xml:space="preserve">, M., </w:t>
      </w:r>
      <w:proofErr w:type="spellStart"/>
      <w:r w:rsidRPr="002C46AA">
        <w:t>Mendiguren</w:t>
      </w:r>
      <w:proofErr w:type="spellEnd"/>
      <w:r w:rsidRPr="002C46AA">
        <w:t xml:space="preserve">, A., Pérez-Gómez </w:t>
      </w:r>
      <w:proofErr w:type="spellStart"/>
      <w:r w:rsidRPr="002C46AA">
        <w:t>Moreta</w:t>
      </w:r>
      <w:proofErr w:type="spellEnd"/>
      <w:r w:rsidRPr="002C46AA">
        <w:t xml:space="preserve">, M., &amp; </w:t>
      </w:r>
      <w:proofErr w:type="spellStart"/>
      <w:r w:rsidRPr="002C46AA">
        <w:t>Bruzos-Cidón</w:t>
      </w:r>
      <w:proofErr w:type="spellEnd"/>
      <w:r w:rsidRPr="002C46AA">
        <w:t xml:space="preserve">, C. (2024). Strategies to Improve Therapeutic Adherence in Polymedicated Patients over 65 Years: A Systematic Review and Meta-Analysis. </w:t>
      </w:r>
      <w:r w:rsidRPr="002C46AA">
        <w:rPr>
          <w:i/>
          <w:iCs/>
        </w:rPr>
        <w:t>Pharmacy</w:t>
      </w:r>
      <w:r w:rsidRPr="002C46AA">
        <w:t xml:space="preserve">, </w:t>
      </w:r>
      <w:r w:rsidRPr="002C46AA">
        <w:rPr>
          <w:i/>
          <w:iCs/>
        </w:rPr>
        <w:t>12</w:t>
      </w:r>
      <w:r w:rsidRPr="002C46AA">
        <w:t>(1), 35. https://doi.org/10.3390/pharmacy12010035</w:t>
      </w:r>
    </w:p>
    <w:p w:rsidR="002C46AA" w:rsidRPr="002C46AA" w:rsidRDefault="002C46AA" w:rsidP="00E74405">
      <w:pPr>
        <w:pStyle w:val="Bibliography"/>
      </w:pPr>
      <w:r w:rsidRPr="002C46AA">
        <w:t xml:space="preserve">Harris, D., </w:t>
      </w:r>
      <w:proofErr w:type="spellStart"/>
      <w:r w:rsidRPr="002C46AA">
        <w:t>Mandarino</w:t>
      </w:r>
      <w:proofErr w:type="spellEnd"/>
      <w:r w:rsidRPr="002C46AA">
        <w:t xml:space="preserve">, M. J., Gregg, A. P., &amp; </w:t>
      </w:r>
      <w:proofErr w:type="spellStart"/>
      <w:r w:rsidRPr="002C46AA">
        <w:t>Freedberg</w:t>
      </w:r>
      <w:proofErr w:type="spellEnd"/>
      <w:r w:rsidRPr="002C46AA">
        <w:t xml:space="preserve">, A. (2025). Medication adherence: Challenges and strategies for older adults. </w:t>
      </w:r>
      <w:r w:rsidRPr="002C46AA">
        <w:rPr>
          <w:i/>
          <w:iCs/>
        </w:rPr>
        <w:t>The Mental Health Clinician</w:t>
      </w:r>
      <w:r w:rsidRPr="002C46AA">
        <w:t xml:space="preserve">, </w:t>
      </w:r>
      <w:r w:rsidRPr="002C46AA">
        <w:rPr>
          <w:i/>
          <w:iCs/>
        </w:rPr>
        <w:t>15</w:t>
      </w:r>
      <w:r w:rsidRPr="002C46AA">
        <w:t>(2), 40–42. https://doi.org/10.9740/mhc.2025.04.040</w:t>
      </w:r>
    </w:p>
    <w:p w:rsidR="002C46AA" w:rsidRPr="002C46AA" w:rsidRDefault="002C46AA" w:rsidP="00E74405">
      <w:pPr>
        <w:pStyle w:val="Bibliography"/>
      </w:pPr>
      <w:r w:rsidRPr="002C46AA">
        <w:t xml:space="preserve">Khalid, L., &amp; Kumar, A. (2025). Audit of Renal Function Monitoring and Indications in Patients Prescribed </w:t>
      </w:r>
      <w:proofErr w:type="spellStart"/>
      <w:r w:rsidRPr="002C46AA">
        <w:t>Memantine</w:t>
      </w:r>
      <w:proofErr w:type="spellEnd"/>
      <w:r w:rsidRPr="002C46AA">
        <w:t xml:space="preserve"> at </w:t>
      </w:r>
      <w:proofErr w:type="spellStart"/>
      <w:r w:rsidRPr="002C46AA">
        <w:t>Ribchester</w:t>
      </w:r>
      <w:proofErr w:type="spellEnd"/>
      <w:r w:rsidRPr="002C46AA">
        <w:t xml:space="preserve"> Centre: A Review of Compliance With Pre-Prescription Guidelines. </w:t>
      </w:r>
      <w:proofErr w:type="spellStart"/>
      <w:r w:rsidRPr="002C46AA">
        <w:rPr>
          <w:i/>
          <w:iCs/>
        </w:rPr>
        <w:t>BJPsych</w:t>
      </w:r>
      <w:proofErr w:type="spellEnd"/>
      <w:r w:rsidRPr="002C46AA">
        <w:rPr>
          <w:i/>
          <w:iCs/>
        </w:rPr>
        <w:t xml:space="preserve"> Open</w:t>
      </w:r>
      <w:r w:rsidRPr="002C46AA">
        <w:t xml:space="preserve">, </w:t>
      </w:r>
      <w:r w:rsidRPr="002C46AA">
        <w:rPr>
          <w:i/>
          <w:iCs/>
        </w:rPr>
        <w:t>11</w:t>
      </w:r>
      <w:r w:rsidRPr="002C46AA">
        <w:t>(</w:t>
      </w:r>
      <w:proofErr w:type="spellStart"/>
      <w:r w:rsidRPr="002C46AA">
        <w:t>Suppl</w:t>
      </w:r>
      <w:proofErr w:type="spellEnd"/>
      <w:r w:rsidRPr="002C46AA">
        <w:t xml:space="preserve"> 1), S250. https://doi.org/10.1192/bjo.2025.10618</w:t>
      </w:r>
    </w:p>
    <w:p w:rsidR="002C46AA" w:rsidRPr="002C46AA" w:rsidRDefault="002C46AA" w:rsidP="00E74405">
      <w:pPr>
        <w:pStyle w:val="Bibliography"/>
      </w:pPr>
      <w:proofErr w:type="spellStart"/>
      <w:r w:rsidRPr="002C46AA">
        <w:t>Kuns</w:t>
      </w:r>
      <w:proofErr w:type="spellEnd"/>
      <w:r w:rsidRPr="002C46AA">
        <w:t xml:space="preserve">, B., </w:t>
      </w:r>
      <w:proofErr w:type="spellStart"/>
      <w:r w:rsidRPr="002C46AA">
        <w:t>Rosani</w:t>
      </w:r>
      <w:proofErr w:type="spellEnd"/>
      <w:r w:rsidRPr="002C46AA">
        <w:t xml:space="preserve">, A., Patel, P., &amp; Varghese, D. (2026). </w:t>
      </w:r>
      <w:proofErr w:type="spellStart"/>
      <w:r w:rsidRPr="002C46AA">
        <w:t>Memantine</w:t>
      </w:r>
      <w:proofErr w:type="spellEnd"/>
      <w:r w:rsidRPr="002C46AA">
        <w:t xml:space="preserve">. In </w:t>
      </w:r>
      <w:proofErr w:type="spellStart"/>
      <w:r w:rsidRPr="002C46AA">
        <w:rPr>
          <w:i/>
          <w:iCs/>
        </w:rPr>
        <w:t>StatPearls</w:t>
      </w:r>
      <w:proofErr w:type="spellEnd"/>
      <w:r w:rsidRPr="002C46AA">
        <w:t xml:space="preserve">. </w:t>
      </w:r>
      <w:proofErr w:type="spellStart"/>
      <w:r w:rsidRPr="002C46AA">
        <w:t>StatPearls</w:t>
      </w:r>
      <w:proofErr w:type="spellEnd"/>
      <w:r w:rsidRPr="002C46AA">
        <w:t xml:space="preserve"> Publishing. http://www.ncbi.nlm.nih.gov/books/NBK500025/</w:t>
      </w:r>
    </w:p>
    <w:p w:rsidR="002C46AA" w:rsidRPr="002C46AA" w:rsidRDefault="002C46AA" w:rsidP="00E74405">
      <w:pPr>
        <w:pStyle w:val="Bibliography"/>
      </w:pPr>
      <w:proofErr w:type="spellStart"/>
      <w:r w:rsidRPr="002C46AA">
        <w:rPr>
          <w:i/>
          <w:iCs/>
        </w:rPr>
        <w:t>Memantine</w:t>
      </w:r>
      <w:proofErr w:type="spellEnd"/>
      <w:r w:rsidRPr="002C46AA">
        <w:rPr>
          <w:i/>
          <w:iCs/>
        </w:rPr>
        <w:t>: Package Insert / Prescribing Information / MOA</w:t>
      </w:r>
      <w:r w:rsidRPr="002C46AA">
        <w:t>. (2026). Drugs.Com. https://www.drugs.com/pro/memantine.html</w:t>
      </w:r>
    </w:p>
    <w:p w:rsidR="002C46AA" w:rsidRPr="002C46AA" w:rsidRDefault="002C46AA" w:rsidP="00E74405">
      <w:pPr>
        <w:pStyle w:val="Bibliography"/>
      </w:pPr>
      <w:r w:rsidRPr="002C46AA">
        <w:t xml:space="preserve">Panel, 2023 American Geriatrics Society Beers Criteria® Update Expert. (2023). American Geriatrics Society 2023 updated AGS Beers Criteria® for potentially inappropriate medication use in older adults. </w:t>
      </w:r>
      <w:r w:rsidRPr="002C46AA">
        <w:rPr>
          <w:i/>
          <w:iCs/>
        </w:rPr>
        <w:t>Journal of the American Geriatrics Society</w:t>
      </w:r>
      <w:r w:rsidRPr="002C46AA">
        <w:t xml:space="preserve">, </w:t>
      </w:r>
      <w:r w:rsidRPr="002C46AA">
        <w:rPr>
          <w:i/>
          <w:iCs/>
        </w:rPr>
        <w:t>71</w:t>
      </w:r>
      <w:r w:rsidRPr="002C46AA">
        <w:t xml:space="preserve">(7), 2052–2081. </w:t>
      </w:r>
      <w:hyperlink r:id="rId7" w:history="1">
        <w:r w:rsidR="00940552" w:rsidRPr="005E6C5A">
          <w:rPr>
            <w:rStyle w:val="Hyperlink"/>
          </w:rPr>
          <w:t>https://doi.org/10.1111/jgs.18372</w:t>
        </w:r>
      </w:hyperlink>
      <w:r w:rsidR="00940552">
        <w:t xml:space="preserve"> </w:t>
      </w:r>
    </w:p>
    <w:p w:rsidR="002C46AA" w:rsidRPr="002C46AA" w:rsidRDefault="002C46AA" w:rsidP="00E74405">
      <w:pPr>
        <w:pStyle w:val="Bibliography"/>
      </w:pPr>
      <w:r w:rsidRPr="002C46AA">
        <w:lastRenderedPageBreak/>
        <w:t xml:space="preserve">Pope, C. (2025). </w:t>
      </w:r>
      <w:proofErr w:type="spellStart"/>
      <w:r w:rsidRPr="002C46AA">
        <w:rPr>
          <w:i/>
          <w:iCs/>
        </w:rPr>
        <w:t>Memantine</w:t>
      </w:r>
      <w:proofErr w:type="spellEnd"/>
      <w:r w:rsidRPr="002C46AA">
        <w:rPr>
          <w:i/>
          <w:iCs/>
        </w:rPr>
        <w:t>: Uses, Dosage, Side Effects, Warnings</w:t>
      </w:r>
      <w:r w:rsidRPr="002C46AA">
        <w:t>. Drugs.Com. https://www.drugs.com/memantine.html</w:t>
      </w:r>
    </w:p>
    <w:p w:rsidR="002C46AA" w:rsidRDefault="002C46AA" w:rsidP="00E74405">
      <w:pPr>
        <w:pStyle w:val="Bibliography"/>
      </w:pPr>
      <w:r w:rsidRPr="002C46AA">
        <w:t xml:space="preserve">Thomas, S. J., &amp; </w:t>
      </w:r>
      <w:proofErr w:type="spellStart"/>
      <w:r w:rsidRPr="002C46AA">
        <w:t>Grossberg</w:t>
      </w:r>
      <w:proofErr w:type="spellEnd"/>
      <w:r w:rsidRPr="002C46AA">
        <w:t xml:space="preserve">, G. T. (2009). </w:t>
      </w:r>
      <w:proofErr w:type="spellStart"/>
      <w:r w:rsidRPr="002C46AA">
        <w:t>Memantine</w:t>
      </w:r>
      <w:proofErr w:type="spellEnd"/>
      <w:r w:rsidRPr="002C46AA">
        <w:t xml:space="preserve">: A review of studies into its safety and efficacy in treating Alzheimer’s disease and other dementias. </w:t>
      </w:r>
      <w:r w:rsidRPr="002C46AA">
        <w:rPr>
          <w:i/>
          <w:iCs/>
        </w:rPr>
        <w:t>Clinical Interventions in Aging</w:t>
      </w:r>
      <w:r w:rsidRPr="002C46AA">
        <w:t xml:space="preserve">, </w:t>
      </w:r>
      <w:r w:rsidRPr="002C46AA">
        <w:rPr>
          <w:i/>
          <w:iCs/>
        </w:rPr>
        <w:t>4</w:t>
      </w:r>
      <w:r w:rsidRPr="002C46AA">
        <w:t xml:space="preserve">, 367–377. </w:t>
      </w:r>
      <w:hyperlink r:id="rId8" w:history="1">
        <w:r w:rsidR="000A03E3" w:rsidRPr="00416A4C">
          <w:rPr>
            <w:rStyle w:val="Hyperlink"/>
          </w:rPr>
          <w:t>https://doi.org/10.2147/cia.s6666</w:t>
        </w:r>
      </w:hyperlink>
    </w:p>
    <w:p w:rsidR="000A03E3" w:rsidRPr="000A03E3" w:rsidRDefault="000A03E3" w:rsidP="000A03E3">
      <w:pPr>
        <w:pStyle w:val="Bibliography"/>
      </w:pPr>
      <w:r>
        <w:fldChar w:fldCharType="begin"/>
      </w:r>
      <w:r>
        <w:instrText xml:space="preserve"> ADDIN ZOTERO_BIBL {"uncited":[],"omitted":[],"custom":[]} CSL_BIBLIOGRAPHY </w:instrText>
      </w:r>
      <w:r>
        <w:fldChar w:fldCharType="separate"/>
      </w:r>
      <w:r w:rsidRPr="000A03E3">
        <w:t xml:space="preserve">American Geriatrics Society. (2023). American Geriatrics Society 2023 updated AGS Beers Criteria® for potentially inappropriate medication use in older adults. </w:t>
      </w:r>
      <w:r w:rsidRPr="000A03E3">
        <w:rPr>
          <w:i/>
          <w:iCs/>
        </w:rPr>
        <w:t>Journal of the American Geriatrics Society</w:t>
      </w:r>
      <w:r w:rsidRPr="000A03E3">
        <w:t xml:space="preserve">, </w:t>
      </w:r>
      <w:r w:rsidRPr="000A03E3">
        <w:rPr>
          <w:i/>
          <w:iCs/>
        </w:rPr>
        <w:t>71</w:t>
      </w:r>
      <w:r w:rsidRPr="000A03E3">
        <w:t>(7), 2052–2081. https://doi.org/10.1111/jgs.18372</w:t>
      </w:r>
    </w:p>
    <w:p w:rsidR="000A03E3" w:rsidRPr="000A03E3" w:rsidRDefault="000A03E3" w:rsidP="000A03E3">
      <w:pPr>
        <w:pStyle w:val="Bibliography"/>
      </w:pPr>
      <w:r w:rsidRPr="000A03E3">
        <w:t xml:space="preserve">Benzodiazepine Information Coalition. (2024). Impact on the Older Adult Population. </w:t>
      </w:r>
      <w:r w:rsidRPr="000A03E3">
        <w:rPr>
          <w:i/>
          <w:iCs/>
        </w:rPr>
        <w:t>Benzodiazepine Information Coalition</w:t>
      </w:r>
      <w:r w:rsidRPr="000A03E3">
        <w:t>. https://www.benzoinfo.com/benzodiazepine-older-adults-impact/</w:t>
      </w:r>
    </w:p>
    <w:p w:rsidR="000A03E3" w:rsidRPr="000A03E3" w:rsidRDefault="000A03E3" w:rsidP="000A03E3">
      <w:r>
        <w:fldChar w:fldCharType="end"/>
      </w:r>
    </w:p>
    <w:p w:rsidR="006A02AC" w:rsidRPr="00135D91" w:rsidRDefault="008A6D2F" w:rsidP="00E74405">
      <w:pPr>
        <w:spacing w:after="0" w:line="480" w:lineRule="auto"/>
      </w:pPr>
    </w:p>
    <w:sectPr w:rsidR="006A02AC" w:rsidRPr="00135D9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D2F" w:rsidRDefault="008A6D2F" w:rsidP="002C46AA">
      <w:pPr>
        <w:spacing w:after="0" w:line="240" w:lineRule="auto"/>
      </w:pPr>
      <w:r>
        <w:separator/>
      </w:r>
    </w:p>
  </w:endnote>
  <w:endnote w:type="continuationSeparator" w:id="0">
    <w:p w:rsidR="008A6D2F" w:rsidRDefault="008A6D2F" w:rsidP="002C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D2F" w:rsidRDefault="008A6D2F" w:rsidP="002C46AA">
      <w:pPr>
        <w:spacing w:after="0" w:line="240" w:lineRule="auto"/>
      </w:pPr>
      <w:r>
        <w:separator/>
      </w:r>
    </w:p>
  </w:footnote>
  <w:footnote w:type="continuationSeparator" w:id="0">
    <w:p w:rsidR="008A6D2F" w:rsidRDefault="008A6D2F" w:rsidP="002C4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226266"/>
      <w:docPartObj>
        <w:docPartGallery w:val="Page Numbers (Top of Page)"/>
        <w:docPartUnique/>
      </w:docPartObj>
    </w:sdtPr>
    <w:sdtEndPr>
      <w:rPr>
        <w:noProof/>
      </w:rPr>
    </w:sdtEndPr>
    <w:sdtContent>
      <w:p w:rsidR="002C46AA" w:rsidRDefault="002C46AA">
        <w:pPr>
          <w:pStyle w:val="Header"/>
          <w:jc w:val="right"/>
        </w:pPr>
        <w:r>
          <w:fldChar w:fldCharType="begin"/>
        </w:r>
        <w:r>
          <w:instrText xml:space="preserve"> PAGE   \* MERGEFORMAT </w:instrText>
        </w:r>
        <w:r>
          <w:fldChar w:fldCharType="separate"/>
        </w:r>
        <w:r w:rsidR="00092630">
          <w:rPr>
            <w:noProof/>
          </w:rPr>
          <w:t>8</w:t>
        </w:r>
        <w:r>
          <w:rPr>
            <w:noProof/>
          </w:rPr>
          <w:fldChar w:fldCharType="end"/>
        </w:r>
      </w:p>
    </w:sdtContent>
  </w:sdt>
  <w:p w:rsidR="002C46AA" w:rsidRDefault="002C4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84"/>
    <w:rsid w:val="00092630"/>
    <w:rsid w:val="000A03E3"/>
    <w:rsid w:val="00135D91"/>
    <w:rsid w:val="002806CA"/>
    <w:rsid w:val="002C46AA"/>
    <w:rsid w:val="002F172E"/>
    <w:rsid w:val="003D723C"/>
    <w:rsid w:val="00463973"/>
    <w:rsid w:val="00514046"/>
    <w:rsid w:val="00582A14"/>
    <w:rsid w:val="005D5C04"/>
    <w:rsid w:val="00683231"/>
    <w:rsid w:val="00704FBE"/>
    <w:rsid w:val="0085680F"/>
    <w:rsid w:val="008A6D2F"/>
    <w:rsid w:val="008E4467"/>
    <w:rsid w:val="00940552"/>
    <w:rsid w:val="009A1273"/>
    <w:rsid w:val="00AE79C8"/>
    <w:rsid w:val="00B71684"/>
    <w:rsid w:val="00C57A0E"/>
    <w:rsid w:val="00DB1464"/>
    <w:rsid w:val="00DB76D9"/>
    <w:rsid w:val="00E23B42"/>
    <w:rsid w:val="00E74405"/>
    <w:rsid w:val="00EF4169"/>
    <w:rsid w:val="00F4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B40EA-08A0-4C76-B8DE-17F27F2F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3">
    <w:name w:val="heading 3"/>
    <w:basedOn w:val="Normal"/>
    <w:link w:val="Heading3Char"/>
    <w:uiPriority w:val="9"/>
    <w:qFormat/>
    <w:rsid w:val="002C46A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B7168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684"/>
    <w:rPr>
      <w:b/>
      <w:bCs/>
    </w:rPr>
  </w:style>
  <w:style w:type="character" w:customStyle="1" w:styleId="inline-flex">
    <w:name w:val="inline-flex"/>
    <w:basedOn w:val="DefaultParagraphFont"/>
    <w:rsid w:val="00B71684"/>
  </w:style>
  <w:style w:type="character" w:customStyle="1" w:styleId="text-nowrap">
    <w:name w:val="text-nowrap"/>
    <w:basedOn w:val="DefaultParagraphFont"/>
    <w:rsid w:val="00B71684"/>
  </w:style>
  <w:style w:type="character" w:styleId="Hyperlink">
    <w:name w:val="Hyperlink"/>
    <w:basedOn w:val="DefaultParagraphFont"/>
    <w:uiPriority w:val="99"/>
    <w:unhideWhenUsed/>
    <w:rsid w:val="00135D91"/>
    <w:rPr>
      <w:color w:val="0000FF"/>
      <w:u w:val="single"/>
    </w:rPr>
  </w:style>
  <w:style w:type="character" w:styleId="Emphasis">
    <w:name w:val="Emphasis"/>
    <w:basedOn w:val="DefaultParagraphFont"/>
    <w:uiPriority w:val="20"/>
    <w:qFormat/>
    <w:rsid w:val="00135D91"/>
    <w:rPr>
      <w:i/>
      <w:iCs/>
    </w:rPr>
  </w:style>
  <w:style w:type="paragraph" w:styleId="NormalWeb">
    <w:name w:val="Normal (Web)"/>
    <w:basedOn w:val="Normal"/>
    <w:uiPriority w:val="99"/>
    <w:unhideWhenUsed/>
    <w:rsid w:val="00E23B42"/>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2C46AA"/>
    <w:pPr>
      <w:spacing w:after="0" w:line="480" w:lineRule="auto"/>
      <w:ind w:left="720" w:hanging="720"/>
    </w:pPr>
  </w:style>
  <w:style w:type="paragraph" w:styleId="Header">
    <w:name w:val="header"/>
    <w:basedOn w:val="Normal"/>
    <w:link w:val="HeaderChar"/>
    <w:uiPriority w:val="99"/>
    <w:unhideWhenUsed/>
    <w:rsid w:val="002C4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AA"/>
    <w:rPr>
      <w:rFonts w:ascii="Times New Roman" w:hAnsi="Times New Roman"/>
      <w:sz w:val="24"/>
    </w:rPr>
  </w:style>
  <w:style w:type="paragraph" w:styleId="Footer">
    <w:name w:val="footer"/>
    <w:basedOn w:val="Normal"/>
    <w:link w:val="FooterChar"/>
    <w:uiPriority w:val="99"/>
    <w:unhideWhenUsed/>
    <w:rsid w:val="002C4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AA"/>
    <w:rPr>
      <w:rFonts w:ascii="Times New Roman" w:hAnsi="Times New Roman"/>
      <w:sz w:val="24"/>
    </w:rPr>
  </w:style>
  <w:style w:type="character" w:customStyle="1" w:styleId="Heading3Char">
    <w:name w:val="Heading 3 Char"/>
    <w:basedOn w:val="DefaultParagraphFont"/>
    <w:link w:val="Heading3"/>
    <w:uiPriority w:val="9"/>
    <w:rsid w:val="002C46A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821">
      <w:bodyDiv w:val="1"/>
      <w:marLeft w:val="0"/>
      <w:marRight w:val="0"/>
      <w:marTop w:val="0"/>
      <w:marBottom w:val="0"/>
      <w:divBdr>
        <w:top w:val="none" w:sz="0" w:space="0" w:color="auto"/>
        <w:left w:val="none" w:sz="0" w:space="0" w:color="auto"/>
        <w:bottom w:val="none" w:sz="0" w:space="0" w:color="auto"/>
        <w:right w:val="none" w:sz="0" w:space="0" w:color="auto"/>
      </w:divBdr>
      <w:divsChild>
        <w:div w:id="1873494631">
          <w:marLeft w:val="0"/>
          <w:marRight w:val="0"/>
          <w:marTop w:val="120"/>
          <w:marBottom w:val="120"/>
          <w:divBdr>
            <w:top w:val="none" w:sz="0" w:space="0" w:color="auto"/>
            <w:left w:val="none" w:sz="0" w:space="0" w:color="auto"/>
            <w:bottom w:val="none" w:sz="0" w:space="0" w:color="auto"/>
            <w:right w:val="none" w:sz="0" w:space="0" w:color="auto"/>
          </w:divBdr>
        </w:div>
      </w:divsChild>
    </w:div>
    <w:div w:id="92821174">
      <w:bodyDiv w:val="1"/>
      <w:marLeft w:val="0"/>
      <w:marRight w:val="0"/>
      <w:marTop w:val="0"/>
      <w:marBottom w:val="0"/>
      <w:divBdr>
        <w:top w:val="none" w:sz="0" w:space="0" w:color="auto"/>
        <w:left w:val="none" w:sz="0" w:space="0" w:color="auto"/>
        <w:bottom w:val="none" w:sz="0" w:space="0" w:color="auto"/>
        <w:right w:val="none" w:sz="0" w:space="0" w:color="auto"/>
      </w:divBdr>
    </w:div>
    <w:div w:id="138620152">
      <w:bodyDiv w:val="1"/>
      <w:marLeft w:val="0"/>
      <w:marRight w:val="0"/>
      <w:marTop w:val="0"/>
      <w:marBottom w:val="0"/>
      <w:divBdr>
        <w:top w:val="none" w:sz="0" w:space="0" w:color="auto"/>
        <w:left w:val="none" w:sz="0" w:space="0" w:color="auto"/>
        <w:bottom w:val="none" w:sz="0" w:space="0" w:color="auto"/>
        <w:right w:val="none" w:sz="0" w:space="0" w:color="auto"/>
      </w:divBdr>
      <w:divsChild>
        <w:div w:id="2105688633">
          <w:marLeft w:val="0"/>
          <w:marRight w:val="0"/>
          <w:marTop w:val="120"/>
          <w:marBottom w:val="120"/>
          <w:divBdr>
            <w:top w:val="none" w:sz="0" w:space="0" w:color="auto"/>
            <w:left w:val="none" w:sz="0" w:space="0" w:color="auto"/>
            <w:bottom w:val="none" w:sz="0" w:space="0" w:color="auto"/>
            <w:right w:val="none" w:sz="0" w:space="0" w:color="auto"/>
          </w:divBdr>
        </w:div>
        <w:div w:id="764493175">
          <w:marLeft w:val="0"/>
          <w:marRight w:val="0"/>
          <w:marTop w:val="120"/>
          <w:marBottom w:val="120"/>
          <w:divBdr>
            <w:top w:val="none" w:sz="0" w:space="0" w:color="auto"/>
            <w:left w:val="none" w:sz="0" w:space="0" w:color="auto"/>
            <w:bottom w:val="none" w:sz="0" w:space="0" w:color="auto"/>
            <w:right w:val="none" w:sz="0" w:space="0" w:color="auto"/>
          </w:divBdr>
        </w:div>
      </w:divsChild>
    </w:div>
    <w:div w:id="158738665">
      <w:bodyDiv w:val="1"/>
      <w:marLeft w:val="0"/>
      <w:marRight w:val="0"/>
      <w:marTop w:val="0"/>
      <w:marBottom w:val="0"/>
      <w:divBdr>
        <w:top w:val="none" w:sz="0" w:space="0" w:color="auto"/>
        <w:left w:val="none" w:sz="0" w:space="0" w:color="auto"/>
        <w:bottom w:val="none" w:sz="0" w:space="0" w:color="auto"/>
        <w:right w:val="none" w:sz="0" w:space="0" w:color="auto"/>
      </w:divBdr>
      <w:divsChild>
        <w:div w:id="622275387">
          <w:marLeft w:val="0"/>
          <w:marRight w:val="0"/>
          <w:marTop w:val="0"/>
          <w:marBottom w:val="0"/>
          <w:divBdr>
            <w:top w:val="none" w:sz="0" w:space="0" w:color="auto"/>
            <w:left w:val="none" w:sz="0" w:space="0" w:color="auto"/>
            <w:bottom w:val="none" w:sz="0" w:space="0" w:color="auto"/>
            <w:right w:val="none" w:sz="0" w:space="0" w:color="auto"/>
          </w:divBdr>
          <w:divsChild>
            <w:div w:id="1250383949">
              <w:marLeft w:val="0"/>
              <w:marRight w:val="0"/>
              <w:marTop w:val="0"/>
              <w:marBottom w:val="0"/>
              <w:divBdr>
                <w:top w:val="none" w:sz="0" w:space="0" w:color="auto"/>
                <w:left w:val="none" w:sz="0" w:space="0" w:color="auto"/>
                <w:bottom w:val="none" w:sz="0" w:space="0" w:color="auto"/>
                <w:right w:val="none" w:sz="0" w:space="0" w:color="auto"/>
              </w:divBdr>
              <w:divsChild>
                <w:div w:id="1277636370">
                  <w:marLeft w:val="0"/>
                  <w:marRight w:val="0"/>
                  <w:marTop w:val="0"/>
                  <w:marBottom w:val="0"/>
                  <w:divBdr>
                    <w:top w:val="none" w:sz="0" w:space="0" w:color="auto"/>
                    <w:left w:val="none" w:sz="0" w:space="0" w:color="auto"/>
                    <w:bottom w:val="none" w:sz="0" w:space="0" w:color="auto"/>
                    <w:right w:val="none" w:sz="0" w:space="0" w:color="auto"/>
                  </w:divBdr>
                  <w:divsChild>
                    <w:div w:id="1127317061">
                      <w:marLeft w:val="0"/>
                      <w:marRight w:val="0"/>
                      <w:marTop w:val="0"/>
                      <w:marBottom w:val="0"/>
                      <w:divBdr>
                        <w:top w:val="none" w:sz="0" w:space="0" w:color="auto"/>
                        <w:left w:val="none" w:sz="0" w:space="0" w:color="auto"/>
                        <w:bottom w:val="none" w:sz="0" w:space="0" w:color="auto"/>
                        <w:right w:val="none" w:sz="0" w:space="0" w:color="auto"/>
                      </w:divBdr>
                      <w:divsChild>
                        <w:div w:id="1365590943">
                          <w:marLeft w:val="0"/>
                          <w:marRight w:val="0"/>
                          <w:marTop w:val="0"/>
                          <w:marBottom w:val="0"/>
                          <w:divBdr>
                            <w:top w:val="none" w:sz="0" w:space="0" w:color="auto"/>
                            <w:left w:val="none" w:sz="0" w:space="0" w:color="auto"/>
                            <w:bottom w:val="none" w:sz="0" w:space="0" w:color="auto"/>
                            <w:right w:val="none" w:sz="0" w:space="0" w:color="auto"/>
                          </w:divBdr>
                          <w:divsChild>
                            <w:div w:id="59909531">
                              <w:marLeft w:val="0"/>
                              <w:marRight w:val="0"/>
                              <w:marTop w:val="0"/>
                              <w:marBottom w:val="0"/>
                              <w:divBdr>
                                <w:top w:val="none" w:sz="0" w:space="0" w:color="auto"/>
                                <w:left w:val="none" w:sz="0" w:space="0" w:color="auto"/>
                                <w:bottom w:val="none" w:sz="0" w:space="0" w:color="auto"/>
                                <w:right w:val="none" w:sz="0" w:space="0" w:color="auto"/>
                              </w:divBdr>
                              <w:divsChild>
                                <w:div w:id="1269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6826">
      <w:bodyDiv w:val="1"/>
      <w:marLeft w:val="0"/>
      <w:marRight w:val="0"/>
      <w:marTop w:val="0"/>
      <w:marBottom w:val="0"/>
      <w:divBdr>
        <w:top w:val="none" w:sz="0" w:space="0" w:color="auto"/>
        <w:left w:val="none" w:sz="0" w:space="0" w:color="auto"/>
        <w:bottom w:val="none" w:sz="0" w:space="0" w:color="auto"/>
        <w:right w:val="none" w:sz="0" w:space="0" w:color="auto"/>
      </w:divBdr>
    </w:div>
    <w:div w:id="323555015">
      <w:bodyDiv w:val="1"/>
      <w:marLeft w:val="0"/>
      <w:marRight w:val="0"/>
      <w:marTop w:val="0"/>
      <w:marBottom w:val="0"/>
      <w:divBdr>
        <w:top w:val="none" w:sz="0" w:space="0" w:color="auto"/>
        <w:left w:val="none" w:sz="0" w:space="0" w:color="auto"/>
        <w:bottom w:val="none" w:sz="0" w:space="0" w:color="auto"/>
        <w:right w:val="none" w:sz="0" w:space="0" w:color="auto"/>
      </w:divBdr>
      <w:divsChild>
        <w:div w:id="1479414666">
          <w:marLeft w:val="0"/>
          <w:marRight w:val="0"/>
          <w:marTop w:val="120"/>
          <w:marBottom w:val="120"/>
          <w:divBdr>
            <w:top w:val="none" w:sz="0" w:space="0" w:color="auto"/>
            <w:left w:val="none" w:sz="0" w:space="0" w:color="auto"/>
            <w:bottom w:val="none" w:sz="0" w:space="0" w:color="auto"/>
            <w:right w:val="none" w:sz="0" w:space="0" w:color="auto"/>
          </w:divBdr>
        </w:div>
      </w:divsChild>
    </w:div>
    <w:div w:id="412551426">
      <w:bodyDiv w:val="1"/>
      <w:marLeft w:val="0"/>
      <w:marRight w:val="0"/>
      <w:marTop w:val="0"/>
      <w:marBottom w:val="0"/>
      <w:divBdr>
        <w:top w:val="none" w:sz="0" w:space="0" w:color="auto"/>
        <w:left w:val="none" w:sz="0" w:space="0" w:color="auto"/>
        <w:bottom w:val="none" w:sz="0" w:space="0" w:color="auto"/>
        <w:right w:val="none" w:sz="0" w:space="0" w:color="auto"/>
      </w:divBdr>
      <w:divsChild>
        <w:div w:id="2127115931">
          <w:marLeft w:val="0"/>
          <w:marRight w:val="0"/>
          <w:marTop w:val="120"/>
          <w:marBottom w:val="120"/>
          <w:divBdr>
            <w:top w:val="none" w:sz="0" w:space="0" w:color="auto"/>
            <w:left w:val="none" w:sz="0" w:space="0" w:color="auto"/>
            <w:bottom w:val="none" w:sz="0" w:space="0" w:color="auto"/>
            <w:right w:val="none" w:sz="0" w:space="0" w:color="auto"/>
          </w:divBdr>
        </w:div>
        <w:div w:id="1723091757">
          <w:marLeft w:val="0"/>
          <w:marRight w:val="0"/>
          <w:marTop w:val="120"/>
          <w:marBottom w:val="120"/>
          <w:divBdr>
            <w:top w:val="none" w:sz="0" w:space="0" w:color="auto"/>
            <w:left w:val="none" w:sz="0" w:space="0" w:color="auto"/>
            <w:bottom w:val="none" w:sz="0" w:space="0" w:color="auto"/>
            <w:right w:val="none" w:sz="0" w:space="0" w:color="auto"/>
          </w:divBdr>
        </w:div>
      </w:divsChild>
    </w:div>
    <w:div w:id="493571281">
      <w:bodyDiv w:val="1"/>
      <w:marLeft w:val="0"/>
      <w:marRight w:val="0"/>
      <w:marTop w:val="0"/>
      <w:marBottom w:val="0"/>
      <w:divBdr>
        <w:top w:val="none" w:sz="0" w:space="0" w:color="auto"/>
        <w:left w:val="none" w:sz="0" w:space="0" w:color="auto"/>
        <w:bottom w:val="none" w:sz="0" w:space="0" w:color="auto"/>
        <w:right w:val="none" w:sz="0" w:space="0" w:color="auto"/>
      </w:divBdr>
    </w:div>
    <w:div w:id="508298182">
      <w:bodyDiv w:val="1"/>
      <w:marLeft w:val="0"/>
      <w:marRight w:val="0"/>
      <w:marTop w:val="0"/>
      <w:marBottom w:val="0"/>
      <w:divBdr>
        <w:top w:val="none" w:sz="0" w:space="0" w:color="auto"/>
        <w:left w:val="none" w:sz="0" w:space="0" w:color="auto"/>
        <w:bottom w:val="none" w:sz="0" w:space="0" w:color="auto"/>
        <w:right w:val="none" w:sz="0" w:space="0" w:color="auto"/>
      </w:divBdr>
    </w:div>
    <w:div w:id="512109296">
      <w:bodyDiv w:val="1"/>
      <w:marLeft w:val="0"/>
      <w:marRight w:val="0"/>
      <w:marTop w:val="0"/>
      <w:marBottom w:val="0"/>
      <w:divBdr>
        <w:top w:val="none" w:sz="0" w:space="0" w:color="auto"/>
        <w:left w:val="none" w:sz="0" w:space="0" w:color="auto"/>
        <w:bottom w:val="none" w:sz="0" w:space="0" w:color="auto"/>
        <w:right w:val="none" w:sz="0" w:space="0" w:color="auto"/>
      </w:divBdr>
      <w:divsChild>
        <w:div w:id="709185382">
          <w:marLeft w:val="0"/>
          <w:marRight w:val="0"/>
          <w:marTop w:val="120"/>
          <w:marBottom w:val="120"/>
          <w:divBdr>
            <w:top w:val="none" w:sz="0" w:space="0" w:color="auto"/>
            <w:left w:val="none" w:sz="0" w:space="0" w:color="auto"/>
            <w:bottom w:val="none" w:sz="0" w:space="0" w:color="auto"/>
            <w:right w:val="none" w:sz="0" w:space="0" w:color="auto"/>
          </w:divBdr>
        </w:div>
      </w:divsChild>
    </w:div>
    <w:div w:id="554506870">
      <w:bodyDiv w:val="1"/>
      <w:marLeft w:val="0"/>
      <w:marRight w:val="0"/>
      <w:marTop w:val="0"/>
      <w:marBottom w:val="0"/>
      <w:divBdr>
        <w:top w:val="none" w:sz="0" w:space="0" w:color="auto"/>
        <w:left w:val="none" w:sz="0" w:space="0" w:color="auto"/>
        <w:bottom w:val="none" w:sz="0" w:space="0" w:color="auto"/>
        <w:right w:val="none" w:sz="0" w:space="0" w:color="auto"/>
      </w:divBdr>
      <w:divsChild>
        <w:div w:id="1366296510">
          <w:marLeft w:val="0"/>
          <w:marRight w:val="0"/>
          <w:marTop w:val="120"/>
          <w:marBottom w:val="120"/>
          <w:divBdr>
            <w:top w:val="none" w:sz="0" w:space="0" w:color="auto"/>
            <w:left w:val="none" w:sz="0" w:space="0" w:color="auto"/>
            <w:bottom w:val="none" w:sz="0" w:space="0" w:color="auto"/>
            <w:right w:val="none" w:sz="0" w:space="0" w:color="auto"/>
          </w:divBdr>
        </w:div>
      </w:divsChild>
    </w:div>
    <w:div w:id="579144069">
      <w:bodyDiv w:val="1"/>
      <w:marLeft w:val="0"/>
      <w:marRight w:val="0"/>
      <w:marTop w:val="0"/>
      <w:marBottom w:val="0"/>
      <w:divBdr>
        <w:top w:val="none" w:sz="0" w:space="0" w:color="auto"/>
        <w:left w:val="none" w:sz="0" w:space="0" w:color="auto"/>
        <w:bottom w:val="none" w:sz="0" w:space="0" w:color="auto"/>
        <w:right w:val="none" w:sz="0" w:space="0" w:color="auto"/>
      </w:divBdr>
      <w:divsChild>
        <w:div w:id="194392742">
          <w:marLeft w:val="0"/>
          <w:marRight w:val="0"/>
          <w:marTop w:val="120"/>
          <w:marBottom w:val="120"/>
          <w:divBdr>
            <w:top w:val="none" w:sz="0" w:space="0" w:color="auto"/>
            <w:left w:val="none" w:sz="0" w:space="0" w:color="auto"/>
            <w:bottom w:val="none" w:sz="0" w:space="0" w:color="auto"/>
            <w:right w:val="none" w:sz="0" w:space="0" w:color="auto"/>
          </w:divBdr>
        </w:div>
      </w:divsChild>
    </w:div>
    <w:div w:id="701904686">
      <w:bodyDiv w:val="1"/>
      <w:marLeft w:val="0"/>
      <w:marRight w:val="0"/>
      <w:marTop w:val="0"/>
      <w:marBottom w:val="0"/>
      <w:divBdr>
        <w:top w:val="none" w:sz="0" w:space="0" w:color="auto"/>
        <w:left w:val="none" w:sz="0" w:space="0" w:color="auto"/>
        <w:bottom w:val="none" w:sz="0" w:space="0" w:color="auto"/>
        <w:right w:val="none" w:sz="0" w:space="0" w:color="auto"/>
      </w:divBdr>
    </w:div>
    <w:div w:id="714504427">
      <w:bodyDiv w:val="1"/>
      <w:marLeft w:val="0"/>
      <w:marRight w:val="0"/>
      <w:marTop w:val="0"/>
      <w:marBottom w:val="0"/>
      <w:divBdr>
        <w:top w:val="none" w:sz="0" w:space="0" w:color="auto"/>
        <w:left w:val="none" w:sz="0" w:space="0" w:color="auto"/>
        <w:bottom w:val="none" w:sz="0" w:space="0" w:color="auto"/>
        <w:right w:val="none" w:sz="0" w:space="0" w:color="auto"/>
      </w:divBdr>
      <w:divsChild>
        <w:div w:id="1552039738">
          <w:marLeft w:val="0"/>
          <w:marRight w:val="0"/>
          <w:marTop w:val="120"/>
          <w:marBottom w:val="120"/>
          <w:divBdr>
            <w:top w:val="none" w:sz="0" w:space="0" w:color="auto"/>
            <w:left w:val="none" w:sz="0" w:space="0" w:color="auto"/>
            <w:bottom w:val="none" w:sz="0" w:space="0" w:color="auto"/>
            <w:right w:val="none" w:sz="0" w:space="0" w:color="auto"/>
          </w:divBdr>
        </w:div>
        <w:div w:id="608467083">
          <w:marLeft w:val="0"/>
          <w:marRight w:val="0"/>
          <w:marTop w:val="120"/>
          <w:marBottom w:val="120"/>
          <w:divBdr>
            <w:top w:val="none" w:sz="0" w:space="0" w:color="auto"/>
            <w:left w:val="none" w:sz="0" w:space="0" w:color="auto"/>
            <w:bottom w:val="none" w:sz="0" w:space="0" w:color="auto"/>
            <w:right w:val="none" w:sz="0" w:space="0" w:color="auto"/>
          </w:divBdr>
        </w:div>
      </w:divsChild>
    </w:div>
    <w:div w:id="714542840">
      <w:bodyDiv w:val="1"/>
      <w:marLeft w:val="0"/>
      <w:marRight w:val="0"/>
      <w:marTop w:val="0"/>
      <w:marBottom w:val="0"/>
      <w:divBdr>
        <w:top w:val="none" w:sz="0" w:space="0" w:color="auto"/>
        <w:left w:val="none" w:sz="0" w:space="0" w:color="auto"/>
        <w:bottom w:val="none" w:sz="0" w:space="0" w:color="auto"/>
        <w:right w:val="none" w:sz="0" w:space="0" w:color="auto"/>
      </w:divBdr>
      <w:divsChild>
        <w:div w:id="793790853">
          <w:marLeft w:val="0"/>
          <w:marRight w:val="0"/>
          <w:marTop w:val="120"/>
          <w:marBottom w:val="120"/>
          <w:divBdr>
            <w:top w:val="none" w:sz="0" w:space="0" w:color="auto"/>
            <w:left w:val="none" w:sz="0" w:space="0" w:color="auto"/>
            <w:bottom w:val="none" w:sz="0" w:space="0" w:color="auto"/>
            <w:right w:val="none" w:sz="0" w:space="0" w:color="auto"/>
          </w:divBdr>
        </w:div>
        <w:div w:id="313486802">
          <w:marLeft w:val="0"/>
          <w:marRight w:val="0"/>
          <w:marTop w:val="120"/>
          <w:marBottom w:val="120"/>
          <w:divBdr>
            <w:top w:val="none" w:sz="0" w:space="0" w:color="auto"/>
            <w:left w:val="none" w:sz="0" w:space="0" w:color="auto"/>
            <w:bottom w:val="none" w:sz="0" w:space="0" w:color="auto"/>
            <w:right w:val="none" w:sz="0" w:space="0" w:color="auto"/>
          </w:divBdr>
        </w:div>
      </w:divsChild>
    </w:div>
    <w:div w:id="754981687">
      <w:bodyDiv w:val="1"/>
      <w:marLeft w:val="0"/>
      <w:marRight w:val="0"/>
      <w:marTop w:val="0"/>
      <w:marBottom w:val="0"/>
      <w:divBdr>
        <w:top w:val="none" w:sz="0" w:space="0" w:color="auto"/>
        <w:left w:val="none" w:sz="0" w:space="0" w:color="auto"/>
        <w:bottom w:val="none" w:sz="0" w:space="0" w:color="auto"/>
        <w:right w:val="none" w:sz="0" w:space="0" w:color="auto"/>
      </w:divBdr>
      <w:divsChild>
        <w:div w:id="480463303">
          <w:marLeft w:val="0"/>
          <w:marRight w:val="0"/>
          <w:marTop w:val="120"/>
          <w:marBottom w:val="120"/>
          <w:divBdr>
            <w:top w:val="none" w:sz="0" w:space="0" w:color="auto"/>
            <w:left w:val="none" w:sz="0" w:space="0" w:color="auto"/>
            <w:bottom w:val="none" w:sz="0" w:space="0" w:color="auto"/>
            <w:right w:val="none" w:sz="0" w:space="0" w:color="auto"/>
          </w:divBdr>
        </w:div>
        <w:div w:id="1698001642">
          <w:marLeft w:val="0"/>
          <w:marRight w:val="0"/>
          <w:marTop w:val="120"/>
          <w:marBottom w:val="120"/>
          <w:divBdr>
            <w:top w:val="none" w:sz="0" w:space="0" w:color="auto"/>
            <w:left w:val="none" w:sz="0" w:space="0" w:color="auto"/>
            <w:bottom w:val="none" w:sz="0" w:space="0" w:color="auto"/>
            <w:right w:val="none" w:sz="0" w:space="0" w:color="auto"/>
          </w:divBdr>
        </w:div>
      </w:divsChild>
    </w:div>
    <w:div w:id="76685122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64">
          <w:marLeft w:val="0"/>
          <w:marRight w:val="0"/>
          <w:marTop w:val="120"/>
          <w:marBottom w:val="120"/>
          <w:divBdr>
            <w:top w:val="none" w:sz="0" w:space="0" w:color="auto"/>
            <w:left w:val="none" w:sz="0" w:space="0" w:color="auto"/>
            <w:bottom w:val="none" w:sz="0" w:space="0" w:color="auto"/>
            <w:right w:val="none" w:sz="0" w:space="0" w:color="auto"/>
          </w:divBdr>
        </w:div>
      </w:divsChild>
    </w:div>
    <w:div w:id="828598997">
      <w:bodyDiv w:val="1"/>
      <w:marLeft w:val="0"/>
      <w:marRight w:val="0"/>
      <w:marTop w:val="0"/>
      <w:marBottom w:val="0"/>
      <w:divBdr>
        <w:top w:val="none" w:sz="0" w:space="0" w:color="auto"/>
        <w:left w:val="none" w:sz="0" w:space="0" w:color="auto"/>
        <w:bottom w:val="none" w:sz="0" w:space="0" w:color="auto"/>
        <w:right w:val="none" w:sz="0" w:space="0" w:color="auto"/>
      </w:divBdr>
      <w:divsChild>
        <w:div w:id="900940646">
          <w:marLeft w:val="0"/>
          <w:marRight w:val="0"/>
          <w:marTop w:val="120"/>
          <w:marBottom w:val="120"/>
          <w:divBdr>
            <w:top w:val="none" w:sz="0" w:space="0" w:color="auto"/>
            <w:left w:val="none" w:sz="0" w:space="0" w:color="auto"/>
            <w:bottom w:val="none" w:sz="0" w:space="0" w:color="auto"/>
            <w:right w:val="none" w:sz="0" w:space="0" w:color="auto"/>
          </w:divBdr>
        </w:div>
        <w:div w:id="1132790075">
          <w:marLeft w:val="0"/>
          <w:marRight w:val="0"/>
          <w:marTop w:val="120"/>
          <w:marBottom w:val="120"/>
          <w:divBdr>
            <w:top w:val="none" w:sz="0" w:space="0" w:color="auto"/>
            <w:left w:val="none" w:sz="0" w:space="0" w:color="auto"/>
            <w:bottom w:val="none" w:sz="0" w:space="0" w:color="auto"/>
            <w:right w:val="none" w:sz="0" w:space="0" w:color="auto"/>
          </w:divBdr>
        </w:div>
      </w:divsChild>
    </w:div>
    <w:div w:id="952594598">
      <w:bodyDiv w:val="1"/>
      <w:marLeft w:val="0"/>
      <w:marRight w:val="0"/>
      <w:marTop w:val="0"/>
      <w:marBottom w:val="0"/>
      <w:divBdr>
        <w:top w:val="none" w:sz="0" w:space="0" w:color="auto"/>
        <w:left w:val="none" w:sz="0" w:space="0" w:color="auto"/>
        <w:bottom w:val="none" w:sz="0" w:space="0" w:color="auto"/>
        <w:right w:val="none" w:sz="0" w:space="0" w:color="auto"/>
      </w:divBdr>
      <w:divsChild>
        <w:div w:id="1248223123">
          <w:marLeft w:val="0"/>
          <w:marRight w:val="0"/>
          <w:marTop w:val="120"/>
          <w:marBottom w:val="120"/>
          <w:divBdr>
            <w:top w:val="none" w:sz="0" w:space="0" w:color="auto"/>
            <w:left w:val="none" w:sz="0" w:space="0" w:color="auto"/>
            <w:bottom w:val="none" w:sz="0" w:space="0" w:color="auto"/>
            <w:right w:val="none" w:sz="0" w:space="0" w:color="auto"/>
          </w:divBdr>
        </w:div>
      </w:divsChild>
    </w:div>
    <w:div w:id="982004396">
      <w:bodyDiv w:val="1"/>
      <w:marLeft w:val="0"/>
      <w:marRight w:val="0"/>
      <w:marTop w:val="0"/>
      <w:marBottom w:val="0"/>
      <w:divBdr>
        <w:top w:val="none" w:sz="0" w:space="0" w:color="auto"/>
        <w:left w:val="none" w:sz="0" w:space="0" w:color="auto"/>
        <w:bottom w:val="none" w:sz="0" w:space="0" w:color="auto"/>
        <w:right w:val="none" w:sz="0" w:space="0" w:color="auto"/>
      </w:divBdr>
    </w:div>
    <w:div w:id="1049261401">
      <w:bodyDiv w:val="1"/>
      <w:marLeft w:val="0"/>
      <w:marRight w:val="0"/>
      <w:marTop w:val="0"/>
      <w:marBottom w:val="0"/>
      <w:divBdr>
        <w:top w:val="none" w:sz="0" w:space="0" w:color="auto"/>
        <w:left w:val="none" w:sz="0" w:space="0" w:color="auto"/>
        <w:bottom w:val="none" w:sz="0" w:space="0" w:color="auto"/>
        <w:right w:val="none" w:sz="0" w:space="0" w:color="auto"/>
      </w:divBdr>
    </w:div>
    <w:div w:id="1069422315">
      <w:bodyDiv w:val="1"/>
      <w:marLeft w:val="0"/>
      <w:marRight w:val="0"/>
      <w:marTop w:val="0"/>
      <w:marBottom w:val="0"/>
      <w:divBdr>
        <w:top w:val="none" w:sz="0" w:space="0" w:color="auto"/>
        <w:left w:val="none" w:sz="0" w:space="0" w:color="auto"/>
        <w:bottom w:val="none" w:sz="0" w:space="0" w:color="auto"/>
        <w:right w:val="none" w:sz="0" w:space="0" w:color="auto"/>
      </w:divBdr>
      <w:divsChild>
        <w:div w:id="415832484">
          <w:marLeft w:val="0"/>
          <w:marRight w:val="0"/>
          <w:marTop w:val="120"/>
          <w:marBottom w:val="120"/>
          <w:divBdr>
            <w:top w:val="none" w:sz="0" w:space="0" w:color="auto"/>
            <w:left w:val="none" w:sz="0" w:space="0" w:color="auto"/>
            <w:bottom w:val="none" w:sz="0" w:space="0" w:color="auto"/>
            <w:right w:val="none" w:sz="0" w:space="0" w:color="auto"/>
          </w:divBdr>
        </w:div>
      </w:divsChild>
    </w:div>
    <w:div w:id="1099330260">
      <w:bodyDiv w:val="1"/>
      <w:marLeft w:val="0"/>
      <w:marRight w:val="0"/>
      <w:marTop w:val="0"/>
      <w:marBottom w:val="0"/>
      <w:divBdr>
        <w:top w:val="none" w:sz="0" w:space="0" w:color="auto"/>
        <w:left w:val="none" w:sz="0" w:space="0" w:color="auto"/>
        <w:bottom w:val="none" w:sz="0" w:space="0" w:color="auto"/>
        <w:right w:val="none" w:sz="0" w:space="0" w:color="auto"/>
      </w:divBdr>
      <w:divsChild>
        <w:div w:id="1513375859">
          <w:marLeft w:val="0"/>
          <w:marRight w:val="0"/>
          <w:marTop w:val="120"/>
          <w:marBottom w:val="120"/>
          <w:divBdr>
            <w:top w:val="none" w:sz="0" w:space="0" w:color="auto"/>
            <w:left w:val="none" w:sz="0" w:space="0" w:color="auto"/>
            <w:bottom w:val="none" w:sz="0" w:space="0" w:color="auto"/>
            <w:right w:val="none" w:sz="0" w:space="0" w:color="auto"/>
          </w:divBdr>
        </w:div>
        <w:div w:id="78598118">
          <w:marLeft w:val="0"/>
          <w:marRight w:val="0"/>
          <w:marTop w:val="120"/>
          <w:marBottom w:val="120"/>
          <w:divBdr>
            <w:top w:val="none" w:sz="0" w:space="0" w:color="auto"/>
            <w:left w:val="none" w:sz="0" w:space="0" w:color="auto"/>
            <w:bottom w:val="none" w:sz="0" w:space="0" w:color="auto"/>
            <w:right w:val="none" w:sz="0" w:space="0" w:color="auto"/>
          </w:divBdr>
        </w:div>
      </w:divsChild>
    </w:div>
    <w:div w:id="1279605498">
      <w:bodyDiv w:val="1"/>
      <w:marLeft w:val="0"/>
      <w:marRight w:val="0"/>
      <w:marTop w:val="0"/>
      <w:marBottom w:val="0"/>
      <w:divBdr>
        <w:top w:val="none" w:sz="0" w:space="0" w:color="auto"/>
        <w:left w:val="none" w:sz="0" w:space="0" w:color="auto"/>
        <w:bottom w:val="none" w:sz="0" w:space="0" w:color="auto"/>
        <w:right w:val="none" w:sz="0" w:space="0" w:color="auto"/>
      </w:divBdr>
      <w:divsChild>
        <w:div w:id="182984848">
          <w:marLeft w:val="0"/>
          <w:marRight w:val="0"/>
          <w:marTop w:val="120"/>
          <w:marBottom w:val="120"/>
          <w:divBdr>
            <w:top w:val="none" w:sz="0" w:space="0" w:color="auto"/>
            <w:left w:val="none" w:sz="0" w:space="0" w:color="auto"/>
            <w:bottom w:val="none" w:sz="0" w:space="0" w:color="auto"/>
            <w:right w:val="none" w:sz="0" w:space="0" w:color="auto"/>
          </w:divBdr>
        </w:div>
      </w:divsChild>
    </w:div>
    <w:div w:id="1282108147">
      <w:bodyDiv w:val="1"/>
      <w:marLeft w:val="0"/>
      <w:marRight w:val="0"/>
      <w:marTop w:val="0"/>
      <w:marBottom w:val="0"/>
      <w:divBdr>
        <w:top w:val="none" w:sz="0" w:space="0" w:color="auto"/>
        <w:left w:val="none" w:sz="0" w:space="0" w:color="auto"/>
        <w:bottom w:val="none" w:sz="0" w:space="0" w:color="auto"/>
        <w:right w:val="none" w:sz="0" w:space="0" w:color="auto"/>
      </w:divBdr>
      <w:divsChild>
        <w:div w:id="869879729">
          <w:marLeft w:val="0"/>
          <w:marRight w:val="0"/>
          <w:marTop w:val="120"/>
          <w:marBottom w:val="120"/>
          <w:divBdr>
            <w:top w:val="none" w:sz="0" w:space="0" w:color="auto"/>
            <w:left w:val="none" w:sz="0" w:space="0" w:color="auto"/>
            <w:bottom w:val="none" w:sz="0" w:space="0" w:color="auto"/>
            <w:right w:val="none" w:sz="0" w:space="0" w:color="auto"/>
          </w:divBdr>
        </w:div>
      </w:divsChild>
    </w:div>
    <w:div w:id="1350331960">
      <w:bodyDiv w:val="1"/>
      <w:marLeft w:val="0"/>
      <w:marRight w:val="0"/>
      <w:marTop w:val="0"/>
      <w:marBottom w:val="0"/>
      <w:divBdr>
        <w:top w:val="none" w:sz="0" w:space="0" w:color="auto"/>
        <w:left w:val="none" w:sz="0" w:space="0" w:color="auto"/>
        <w:bottom w:val="none" w:sz="0" w:space="0" w:color="auto"/>
        <w:right w:val="none" w:sz="0" w:space="0" w:color="auto"/>
      </w:divBdr>
      <w:divsChild>
        <w:div w:id="192428111">
          <w:marLeft w:val="0"/>
          <w:marRight w:val="0"/>
          <w:marTop w:val="0"/>
          <w:marBottom w:val="0"/>
          <w:divBdr>
            <w:top w:val="none" w:sz="0" w:space="0" w:color="auto"/>
            <w:left w:val="none" w:sz="0" w:space="0" w:color="auto"/>
            <w:bottom w:val="none" w:sz="0" w:space="0" w:color="auto"/>
            <w:right w:val="none" w:sz="0" w:space="0" w:color="auto"/>
          </w:divBdr>
          <w:divsChild>
            <w:div w:id="90780509">
              <w:marLeft w:val="0"/>
              <w:marRight w:val="0"/>
              <w:marTop w:val="0"/>
              <w:marBottom w:val="0"/>
              <w:divBdr>
                <w:top w:val="none" w:sz="0" w:space="0" w:color="auto"/>
                <w:left w:val="none" w:sz="0" w:space="0" w:color="auto"/>
                <w:bottom w:val="none" w:sz="0" w:space="0" w:color="auto"/>
                <w:right w:val="none" w:sz="0" w:space="0" w:color="auto"/>
              </w:divBdr>
              <w:divsChild>
                <w:div w:id="1814563684">
                  <w:marLeft w:val="0"/>
                  <w:marRight w:val="0"/>
                  <w:marTop w:val="0"/>
                  <w:marBottom w:val="0"/>
                  <w:divBdr>
                    <w:top w:val="none" w:sz="0" w:space="0" w:color="auto"/>
                    <w:left w:val="none" w:sz="0" w:space="0" w:color="auto"/>
                    <w:bottom w:val="none" w:sz="0" w:space="0" w:color="auto"/>
                    <w:right w:val="none" w:sz="0" w:space="0" w:color="auto"/>
                  </w:divBdr>
                  <w:divsChild>
                    <w:div w:id="331104320">
                      <w:marLeft w:val="0"/>
                      <w:marRight w:val="0"/>
                      <w:marTop w:val="0"/>
                      <w:marBottom w:val="0"/>
                      <w:divBdr>
                        <w:top w:val="none" w:sz="0" w:space="0" w:color="auto"/>
                        <w:left w:val="none" w:sz="0" w:space="0" w:color="auto"/>
                        <w:bottom w:val="none" w:sz="0" w:space="0" w:color="auto"/>
                        <w:right w:val="none" w:sz="0" w:space="0" w:color="auto"/>
                      </w:divBdr>
                      <w:divsChild>
                        <w:div w:id="1421220356">
                          <w:marLeft w:val="0"/>
                          <w:marRight w:val="0"/>
                          <w:marTop w:val="0"/>
                          <w:marBottom w:val="0"/>
                          <w:divBdr>
                            <w:top w:val="none" w:sz="0" w:space="0" w:color="auto"/>
                            <w:left w:val="none" w:sz="0" w:space="0" w:color="auto"/>
                            <w:bottom w:val="none" w:sz="0" w:space="0" w:color="auto"/>
                            <w:right w:val="none" w:sz="0" w:space="0" w:color="auto"/>
                          </w:divBdr>
                          <w:divsChild>
                            <w:div w:id="1931115030">
                              <w:marLeft w:val="0"/>
                              <w:marRight w:val="0"/>
                              <w:marTop w:val="0"/>
                              <w:marBottom w:val="0"/>
                              <w:divBdr>
                                <w:top w:val="none" w:sz="0" w:space="0" w:color="auto"/>
                                <w:left w:val="none" w:sz="0" w:space="0" w:color="auto"/>
                                <w:bottom w:val="none" w:sz="0" w:space="0" w:color="auto"/>
                                <w:right w:val="none" w:sz="0" w:space="0" w:color="auto"/>
                              </w:divBdr>
                              <w:divsChild>
                                <w:div w:id="12118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9891">
      <w:bodyDiv w:val="1"/>
      <w:marLeft w:val="0"/>
      <w:marRight w:val="0"/>
      <w:marTop w:val="0"/>
      <w:marBottom w:val="0"/>
      <w:divBdr>
        <w:top w:val="none" w:sz="0" w:space="0" w:color="auto"/>
        <w:left w:val="none" w:sz="0" w:space="0" w:color="auto"/>
        <w:bottom w:val="none" w:sz="0" w:space="0" w:color="auto"/>
        <w:right w:val="none" w:sz="0" w:space="0" w:color="auto"/>
      </w:divBdr>
      <w:divsChild>
        <w:div w:id="1570724627">
          <w:marLeft w:val="0"/>
          <w:marRight w:val="0"/>
          <w:marTop w:val="120"/>
          <w:marBottom w:val="120"/>
          <w:divBdr>
            <w:top w:val="none" w:sz="0" w:space="0" w:color="auto"/>
            <w:left w:val="none" w:sz="0" w:space="0" w:color="auto"/>
            <w:bottom w:val="none" w:sz="0" w:space="0" w:color="auto"/>
            <w:right w:val="none" w:sz="0" w:space="0" w:color="auto"/>
          </w:divBdr>
        </w:div>
        <w:div w:id="220797265">
          <w:marLeft w:val="0"/>
          <w:marRight w:val="0"/>
          <w:marTop w:val="120"/>
          <w:marBottom w:val="120"/>
          <w:divBdr>
            <w:top w:val="none" w:sz="0" w:space="0" w:color="auto"/>
            <w:left w:val="none" w:sz="0" w:space="0" w:color="auto"/>
            <w:bottom w:val="none" w:sz="0" w:space="0" w:color="auto"/>
            <w:right w:val="none" w:sz="0" w:space="0" w:color="auto"/>
          </w:divBdr>
        </w:div>
      </w:divsChild>
    </w:div>
    <w:div w:id="14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489907187">
          <w:marLeft w:val="0"/>
          <w:marRight w:val="0"/>
          <w:marTop w:val="120"/>
          <w:marBottom w:val="120"/>
          <w:divBdr>
            <w:top w:val="none" w:sz="0" w:space="0" w:color="auto"/>
            <w:left w:val="none" w:sz="0" w:space="0" w:color="auto"/>
            <w:bottom w:val="none" w:sz="0" w:space="0" w:color="auto"/>
            <w:right w:val="none" w:sz="0" w:space="0" w:color="auto"/>
          </w:divBdr>
        </w:div>
      </w:divsChild>
    </w:div>
    <w:div w:id="1560049016">
      <w:bodyDiv w:val="1"/>
      <w:marLeft w:val="0"/>
      <w:marRight w:val="0"/>
      <w:marTop w:val="0"/>
      <w:marBottom w:val="0"/>
      <w:divBdr>
        <w:top w:val="none" w:sz="0" w:space="0" w:color="auto"/>
        <w:left w:val="none" w:sz="0" w:space="0" w:color="auto"/>
        <w:bottom w:val="none" w:sz="0" w:space="0" w:color="auto"/>
        <w:right w:val="none" w:sz="0" w:space="0" w:color="auto"/>
      </w:divBdr>
    </w:div>
    <w:div w:id="1579705496">
      <w:bodyDiv w:val="1"/>
      <w:marLeft w:val="0"/>
      <w:marRight w:val="0"/>
      <w:marTop w:val="0"/>
      <w:marBottom w:val="0"/>
      <w:divBdr>
        <w:top w:val="none" w:sz="0" w:space="0" w:color="auto"/>
        <w:left w:val="none" w:sz="0" w:space="0" w:color="auto"/>
        <w:bottom w:val="none" w:sz="0" w:space="0" w:color="auto"/>
        <w:right w:val="none" w:sz="0" w:space="0" w:color="auto"/>
      </w:divBdr>
      <w:divsChild>
        <w:div w:id="490219366">
          <w:marLeft w:val="0"/>
          <w:marRight w:val="0"/>
          <w:marTop w:val="120"/>
          <w:marBottom w:val="120"/>
          <w:divBdr>
            <w:top w:val="none" w:sz="0" w:space="0" w:color="auto"/>
            <w:left w:val="none" w:sz="0" w:space="0" w:color="auto"/>
            <w:bottom w:val="none" w:sz="0" w:space="0" w:color="auto"/>
            <w:right w:val="none" w:sz="0" w:space="0" w:color="auto"/>
          </w:divBdr>
        </w:div>
        <w:div w:id="217203709">
          <w:marLeft w:val="0"/>
          <w:marRight w:val="0"/>
          <w:marTop w:val="120"/>
          <w:marBottom w:val="120"/>
          <w:divBdr>
            <w:top w:val="none" w:sz="0" w:space="0" w:color="auto"/>
            <w:left w:val="none" w:sz="0" w:space="0" w:color="auto"/>
            <w:bottom w:val="none" w:sz="0" w:space="0" w:color="auto"/>
            <w:right w:val="none" w:sz="0" w:space="0" w:color="auto"/>
          </w:divBdr>
        </w:div>
      </w:divsChild>
    </w:div>
    <w:div w:id="1652715855">
      <w:bodyDiv w:val="1"/>
      <w:marLeft w:val="0"/>
      <w:marRight w:val="0"/>
      <w:marTop w:val="0"/>
      <w:marBottom w:val="0"/>
      <w:divBdr>
        <w:top w:val="none" w:sz="0" w:space="0" w:color="auto"/>
        <w:left w:val="none" w:sz="0" w:space="0" w:color="auto"/>
        <w:bottom w:val="none" w:sz="0" w:space="0" w:color="auto"/>
        <w:right w:val="none" w:sz="0" w:space="0" w:color="auto"/>
      </w:divBdr>
      <w:divsChild>
        <w:div w:id="1512135218">
          <w:marLeft w:val="0"/>
          <w:marRight w:val="0"/>
          <w:marTop w:val="120"/>
          <w:marBottom w:val="120"/>
          <w:divBdr>
            <w:top w:val="none" w:sz="0" w:space="0" w:color="auto"/>
            <w:left w:val="none" w:sz="0" w:space="0" w:color="auto"/>
            <w:bottom w:val="none" w:sz="0" w:space="0" w:color="auto"/>
            <w:right w:val="none" w:sz="0" w:space="0" w:color="auto"/>
          </w:divBdr>
        </w:div>
      </w:divsChild>
    </w:div>
    <w:div w:id="1681926868">
      <w:bodyDiv w:val="1"/>
      <w:marLeft w:val="0"/>
      <w:marRight w:val="0"/>
      <w:marTop w:val="0"/>
      <w:marBottom w:val="0"/>
      <w:divBdr>
        <w:top w:val="none" w:sz="0" w:space="0" w:color="auto"/>
        <w:left w:val="none" w:sz="0" w:space="0" w:color="auto"/>
        <w:bottom w:val="none" w:sz="0" w:space="0" w:color="auto"/>
        <w:right w:val="none" w:sz="0" w:space="0" w:color="auto"/>
      </w:divBdr>
      <w:divsChild>
        <w:div w:id="2033264805">
          <w:marLeft w:val="0"/>
          <w:marRight w:val="0"/>
          <w:marTop w:val="120"/>
          <w:marBottom w:val="120"/>
          <w:divBdr>
            <w:top w:val="none" w:sz="0" w:space="0" w:color="auto"/>
            <w:left w:val="none" w:sz="0" w:space="0" w:color="auto"/>
            <w:bottom w:val="none" w:sz="0" w:space="0" w:color="auto"/>
            <w:right w:val="none" w:sz="0" w:space="0" w:color="auto"/>
          </w:divBdr>
        </w:div>
      </w:divsChild>
    </w:div>
    <w:div w:id="1691683612">
      <w:bodyDiv w:val="1"/>
      <w:marLeft w:val="0"/>
      <w:marRight w:val="0"/>
      <w:marTop w:val="0"/>
      <w:marBottom w:val="0"/>
      <w:divBdr>
        <w:top w:val="none" w:sz="0" w:space="0" w:color="auto"/>
        <w:left w:val="none" w:sz="0" w:space="0" w:color="auto"/>
        <w:bottom w:val="none" w:sz="0" w:space="0" w:color="auto"/>
        <w:right w:val="none" w:sz="0" w:space="0" w:color="auto"/>
      </w:divBdr>
      <w:divsChild>
        <w:div w:id="1809010946">
          <w:marLeft w:val="0"/>
          <w:marRight w:val="0"/>
          <w:marTop w:val="120"/>
          <w:marBottom w:val="120"/>
          <w:divBdr>
            <w:top w:val="none" w:sz="0" w:space="0" w:color="auto"/>
            <w:left w:val="none" w:sz="0" w:space="0" w:color="auto"/>
            <w:bottom w:val="none" w:sz="0" w:space="0" w:color="auto"/>
            <w:right w:val="none" w:sz="0" w:space="0" w:color="auto"/>
          </w:divBdr>
        </w:div>
      </w:divsChild>
    </w:div>
    <w:div w:id="1723366245">
      <w:bodyDiv w:val="1"/>
      <w:marLeft w:val="0"/>
      <w:marRight w:val="0"/>
      <w:marTop w:val="0"/>
      <w:marBottom w:val="0"/>
      <w:divBdr>
        <w:top w:val="none" w:sz="0" w:space="0" w:color="auto"/>
        <w:left w:val="none" w:sz="0" w:space="0" w:color="auto"/>
        <w:bottom w:val="none" w:sz="0" w:space="0" w:color="auto"/>
        <w:right w:val="none" w:sz="0" w:space="0" w:color="auto"/>
      </w:divBdr>
      <w:divsChild>
        <w:div w:id="1995185530">
          <w:marLeft w:val="0"/>
          <w:marRight w:val="0"/>
          <w:marTop w:val="120"/>
          <w:marBottom w:val="120"/>
          <w:divBdr>
            <w:top w:val="none" w:sz="0" w:space="0" w:color="auto"/>
            <w:left w:val="none" w:sz="0" w:space="0" w:color="auto"/>
            <w:bottom w:val="none" w:sz="0" w:space="0" w:color="auto"/>
            <w:right w:val="none" w:sz="0" w:space="0" w:color="auto"/>
          </w:divBdr>
        </w:div>
      </w:divsChild>
    </w:div>
    <w:div w:id="1794471450">
      <w:bodyDiv w:val="1"/>
      <w:marLeft w:val="0"/>
      <w:marRight w:val="0"/>
      <w:marTop w:val="0"/>
      <w:marBottom w:val="0"/>
      <w:divBdr>
        <w:top w:val="none" w:sz="0" w:space="0" w:color="auto"/>
        <w:left w:val="none" w:sz="0" w:space="0" w:color="auto"/>
        <w:bottom w:val="none" w:sz="0" w:space="0" w:color="auto"/>
        <w:right w:val="none" w:sz="0" w:space="0" w:color="auto"/>
      </w:divBdr>
      <w:divsChild>
        <w:div w:id="541018256">
          <w:marLeft w:val="0"/>
          <w:marRight w:val="0"/>
          <w:marTop w:val="120"/>
          <w:marBottom w:val="120"/>
          <w:divBdr>
            <w:top w:val="none" w:sz="0" w:space="0" w:color="auto"/>
            <w:left w:val="none" w:sz="0" w:space="0" w:color="auto"/>
            <w:bottom w:val="none" w:sz="0" w:space="0" w:color="auto"/>
            <w:right w:val="none" w:sz="0" w:space="0" w:color="auto"/>
          </w:divBdr>
        </w:div>
      </w:divsChild>
    </w:div>
    <w:div w:id="1802766539">
      <w:bodyDiv w:val="1"/>
      <w:marLeft w:val="0"/>
      <w:marRight w:val="0"/>
      <w:marTop w:val="0"/>
      <w:marBottom w:val="0"/>
      <w:divBdr>
        <w:top w:val="none" w:sz="0" w:space="0" w:color="auto"/>
        <w:left w:val="none" w:sz="0" w:space="0" w:color="auto"/>
        <w:bottom w:val="none" w:sz="0" w:space="0" w:color="auto"/>
        <w:right w:val="none" w:sz="0" w:space="0" w:color="auto"/>
      </w:divBdr>
      <w:divsChild>
        <w:div w:id="1489861894">
          <w:marLeft w:val="0"/>
          <w:marRight w:val="0"/>
          <w:marTop w:val="120"/>
          <w:marBottom w:val="120"/>
          <w:divBdr>
            <w:top w:val="none" w:sz="0" w:space="0" w:color="auto"/>
            <w:left w:val="none" w:sz="0" w:space="0" w:color="auto"/>
            <w:bottom w:val="none" w:sz="0" w:space="0" w:color="auto"/>
            <w:right w:val="none" w:sz="0" w:space="0" w:color="auto"/>
          </w:divBdr>
        </w:div>
        <w:div w:id="208222328">
          <w:marLeft w:val="0"/>
          <w:marRight w:val="0"/>
          <w:marTop w:val="120"/>
          <w:marBottom w:val="120"/>
          <w:divBdr>
            <w:top w:val="none" w:sz="0" w:space="0" w:color="auto"/>
            <w:left w:val="none" w:sz="0" w:space="0" w:color="auto"/>
            <w:bottom w:val="none" w:sz="0" w:space="0" w:color="auto"/>
            <w:right w:val="none" w:sz="0" w:space="0" w:color="auto"/>
          </w:divBdr>
        </w:div>
      </w:divsChild>
    </w:div>
    <w:div w:id="1844783033">
      <w:bodyDiv w:val="1"/>
      <w:marLeft w:val="0"/>
      <w:marRight w:val="0"/>
      <w:marTop w:val="0"/>
      <w:marBottom w:val="0"/>
      <w:divBdr>
        <w:top w:val="none" w:sz="0" w:space="0" w:color="auto"/>
        <w:left w:val="none" w:sz="0" w:space="0" w:color="auto"/>
        <w:bottom w:val="none" w:sz="0" w:space="0" w:color="auto"/>
        <w:right w:val="none" w:sz="0" w:space="0" w:color="auto"/>
      </w:divBdr>
    </w:div>
    <w:div w:id="1921980894">
      <w:bodyDiv w:val="1"/>
      <w:marLeft w:val="0"/>
      <w:marRight w:val="0"/>
      <w:marTop w:val="0"/>
      <w:marBottom w:val="0"/>
      <w:divBdr>
        <w:top w:val="none" w:sz="0" w:space="0" w:color="auto"/>
        <w:left w:val="none" w:sz="0" w:space="0" w:color="auto"/>
        <w:bottom w:val="none" w:sz="0" w:space="0" w:color="auto"/>
        <w:right w:val="none" w:sz="0" w:space="0" w:color="auto"/>
      </w:divBdr>
      <w:divsChild>
        <w:div w:id="752044657">
          <w:marLeft w:val="0"/>
          <w:marRight w:val="0"/>
          <w:marTop w:val="120"/>
          <w:marBottom w:val="120"/>
          <w:divBdr>
            <w:top w:val="none" w:sz="0" w:space="0" w:color="auto"/>
            <w:left w:val="none" w:sz="0" w:space="0" w:color="auto"/>
            <w:bottom w:val="none" w:sz="0" w:space="0" w:color="auto"/>
            <w:right w:val="none" w:sz="0" w:space="0" w:color="auto"/>
          </w:divBdr>
        </w:div>
      </w:divsChild>
    </w:div>
    <w:div w:id="2101220802">
      <w:bodyDiv w:val="1"/>
      <w:marLeft w:val="0"/>
      <w:marRight w:val="0"/>
      <w:marTop w:val="0"/>
      <w:marBottom w:val="0"/>
      <w:divBdr>
        <w:top w:val="none" w:sz="0" w:space="0" w:color="auto"/>
        <w:left w:val="none" w:sz="0" w:space="0" w:color="auto"/>
        <w:bottom w:val="none" w:sz="0" w:space="0" w:color="auto"/>
        <w:right w:val="none" w:sz="0" w:space="0" w:color="auto"/>
      </w:divBdr>
      <w:divsChild>
        <w:div w:id="76294423">
          <w:marLeft w:val="0"/>
          <w:marRight w:val="0"/>
          <w:marTop w:val="120"/>
          <w:marBottom w:val="120"/>
          <w:divBdr>
            <w:top w:val="none" w:sz="0" w:space="0" w:color="auto"/>
            <w:left w:val="none" w:sz="0" w:space="0" w:color="auto"/>
            <w:bottom w:val="none" w:sz="0" w:space="0" w:color="auto"/>
            <w:right w:val="none" w:sz="0" w:space="0" w:color="auto"/>
          </w:divBdr>
        </w:div>
      </w:divsChild>
    </w:div>
    <w:div w:id="2123761961">
      <w:bodyDiv w:val="1"/>
      <w:marLeft w:val="0"/>
      <w:marRight w:val="0"/>
      <w:marTop w:val="0"/>
      <w:marBottom w:val="0"/>
      <w:divBdr>
        <w:top w:val="none" w:sz="0" w:space="0" w:color="auto"/>
        <w:left w:val="none" w:sz="0" w:space="0" w:color="auto"/>
        <w:bottom w:val="none" w:sz="0" w:space="0" w:color="auto"/>
        <w:right w:val="none" w:sz="0" w:space="0" w:color="auto"/>
      </w:divBdr>
      <w:divsChild>
        <w:div w:id="189534618">
          <w:marLeft w:val="0"/>
          <w:marRight w:val="0"/>
          <w:marTop w:val="120"/>
          <w:marBottom w:val="120"/>
          <w:divBdr>
            <w:top w:val="none" w:sz="0" w:space="0" w:color="auto"/>
            <w:left w:val="none" w:sz="0" w:space="0" w:color="auto"/>
            <w:bottom w:val="none" w:sz="0" w:space="0" w:color="auto"/>
            <w:right w:val="none" w:sz="0" w:space="0" w:color="auto"/>
          </w:divBdr>
        </w:div>
        <w:div w:id="143578636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cia.s6666" TargetMode="External"/><Relationship Id="rId3" Type="http://schemas.openxmlformats.org/officeDocument/2006/relationships/webSettings" Target="webSettings.xml"/><Relationship Id="rId7" Type="http://schemas.openxmlformats.org/officeDocument/2006/relationships/hyperlink" Target="https://doi.org/10.1111/jgs.183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nzoinfo.com/benzodiazepine-older-adults-impa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8</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2026-05-02T10:46:00Z</dcterms:created>
  <dcterms:modified xsi:type="dcterms:W3CDTF">2026-05-02T18:17:00Z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id="T9cTX2FY"/&gt;&lt;style id="http://www.zotero.org/styles/apa" locale="en-US" hasBibliography="1" bibliographyStyleHasBeenSet="1"/&gt;&lt;prefs&gt;&lt;pref name="fieldType" value="Field"/&gt;&lt;/prefs&gt;&lt;/data&gt;</vt:lpwstr>
  </property>
</Properties>
</file>