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FBE" w:rsidRDefault="00704FBE" w:rsidP="00704FBE">
      <w:pPr>
        <w:jc w:val="center"/>
        <w:rPr>
          <w:rStyle w:val="Strong"/>
        </w:rPr>
      </w:pPr>
    </w:p>
    <w:p w:rsidR="00704FBE" w:rsidRDefault="00704FBE" w:rsidP="00704FBE">
      <w:pPr>
        <w:jc w:val="center"/>
        <w:rPr>
          <w:rStyle w:val="Strong"/>
        </w:rPr>
      </w:pPr>
    </w:p>
    <w:p w:rsidR="00704FBE" w:rsidRDefault="00704FBE" w:rsidP="00704FBE">
      <w:pPr>
        <w:jc w:val="center"/>
        <w:rPr>
          <w:rStyle w:val="Strong"/>
        </w:rPr>
      </w:pPr>
    </w:p>
    <w:p w:rsidR="00704FBE" w:rsidRDefault="00704FBE" w:rsidP="00704FBE">
      <w:pPr>
        <w:jc w:val="center"/>
        <w:rPr>
          <w:rStyle w:val="Strong"/>
        </w:rPr>
      </w:pPr>
    </w:p>
    <w:p w:rsidR="00EF4169" w:rsidRDefault="00EF4169" w:rsidP="00704FBE">
      <w:pPr>
        <w:jc w:val="center"/>
        <w:rPr>
          <w:rStyle w:val="Strong"/>
        </w:rPr>
      </w:pPr>
    </w:p>
    <w:p w:rsidR="00704FBE" w:rsidRDefault="00704FBE" w:rsidP="00704FBE">
      <w:pPr>
        <w:jc w:val="center"/>
      </w:pPr>
      <w:bookmarkStart w:id="0" w:name="_GoBack"/>
      <w:bookmarkEnd w:id="0"/>
      <w:r>
        <w:rPr>
          <w:rStyle w:val="Strong"/>
        </w:rPr>
        <w:t>Pharmacological Management of Mild Neurocognitive Disorder</w:t>
      </w:r>
    </w:p>
    <w:p w:rsidR="00704FBE" w:rsidRPr="001D181F" w:rsidRDefault="00704FBE" w:rsidP="00704FBE">
      <w:pPr>
        <w:spacing w:after="0" w:line="480" w:lineRule="auto"/>
        <w:jc w:val="center"/>
        <w:rPr>
          <w:rFonts w:eastAsia="Times New Roman" w:cs="Times New Roman"/>
          <w:b/>
          <w:szCs w:val="24"/>
        </w:rPr>
      </w:pPr>
    </w:p>
    <w:p w:rsidR="00704FBE" w:rsidRPr="001D181F" w:rsidRDefault="00704FBE" w:rsidP="00704FBE">
      <w:pPr>
        <w:spacing w:after="0" w:line="480" w:lineRule="auto"/>
        <w:jc w:val="center"/>
        <w:rPr>
          <w:rFonts w:cs="Times New Roman"/>
          <w:b/>
          <w:bCs/>
          <w:szCs w:val="24"/>
        </w:rPr>
      </w:pPr>
      <w:r w:rsidRPr="001D181F">
        <w:rPr>
          <w:rFonts w:cs="Times New Roman"/>
          <w:color w:val="000000"/>
          <w:szCs w:val="24"/>
        </w:rPr>
        <w:t>Author Name</w:t>
      </w:r>
    </w:p>
    <w:p w:rsidR="00704FBE" w:rsidRPr="001D181F" w:rsidRDefault="00704FBE" w:rsidP="00704FBE">
      <w:pPr>
        <w:spacing w:after="0" w:line="480" w:lineRule="auto"/>
        <w:contextualSpacing/>
        <w:jc w:val="center"/>
        <w:rPr>
          <w:rFonts w:cs="Times New Roman"/>
          <w:color w:val="000000"/>
          <w:szCs w:val="24"/>
        </w:rPr>
      </w:pPr>
      <w:r w:rsidRPr="001D181F">
        <w:rPr>
          <w:rFonts w:cs="Times New Roman"/>
          <w:color w:val="000000"/>
          <w:szCs w:val="24"/>
        </w:rPr>
        <w:t>Institution Name</w:t>
      </w:r>
    </w:p>
    <w:p w:rsidR="00704FBE" w:rsidRPr="001D181F" w:rsidRDefault="00704FBE" w:rsidP="00704FBE">
      <w:pPr>
        <w:spacing w:after="0" w:line="480" w:lineRule="auto"/>
        <w:contextualSpacing/>
        <w:jc w:val="center"/>
        <w:rPr>
          <w:rFonts w:cs="Times New Roman"/>
          <w:szCs w:val="24"/>
        </w:rPr>
      </w:pPr>
      <w:r w:rsidRPr="001D181F">
        <w:rPr>
          <w:rFonts w:cs="Times New Roman"/>
          <w:szCs w:val="24"/>
        </w:rPr>
        <w:t>Course Name</w:t>
      </w:r>
    </w:p>
    <w:p w:rsidR="00704FBE" w:rsidRPr="001D181F" w:rsidRDefault="00704FBE" w:rsidP="00704FBE">
      <w:pPr>
        <w:spacing w:after="0" w:line="480" w:lineRule="auto"/>
        <w:contextualSpacing/>
        <w:jc w:val="center"/>
        <w:rPr>
          <w:rFonts w:cs="Times New Roman"/>
          <w:szCs w:val="24"/>
        </w:rPr>
      </w:pPr>
      <w:r w:rsidRPr="001D181F">
        <w:rPr>
          <w:rFonts w:cs="Times New Roman"/>
          <w:szCs w:val="24"/>
        </w:rPr>
        <w:t>Instructor Name</w:t>
      </w:r>
    </w:p>
    <w:p w:rsidR="00704FBE" w:rsidRPr="001D181F" w:rsidRDefault="00704FBE" w:rsidP="00704FBE">
      <w:pPr>
        <w:pStyle w:val="NormalWeb"/>
        <w:spacing w:before="0" w:beforeAutospacing="0" w:after="0" w:afterAutospacing="0" w:line="480" w:lineRule="auto"/>
        <w:jc w:val="center"/>
      </w:pPr>
      <w:r w:rsidRPr="001D181F">
        <w:t>Date</w:t>
      </w:r>
    </w:p>
    <w:p w:rsidR="00704FBE" w:rsidRPr="001D181F" w:rsidRDefault="00704FBE" w:rsidP="00704FBE">
      <w:pPr>
        <w:spacing w:after="0" w:line="480" w:lineRule="auto"/>
        <w:rPr>
          <w:rFonts w:eastAsia="Times New Roman" w:cs="Times New Roman"/>
          <w:szCs w:val="24"/>
        </w:rPr>
      </w:pPr>
      <w:r w:rsidRPr="001D181F">
        <w:rPr>
          <w:szCs w:val="24"/>
        </w:rPr>
        <w:br w:type="page"/>
      </w:r>
    </w:p>
    <w:p w:rsidR="00135D91" w:rsidRDefault="00135D91" w:rsidP="00704FBE">
      <w:pPr>
        <w:jc w:val="center"/>
      </w:pPr>
      <w:r>
        <w:rPr>
          <w:rStyle w:val="Strong"/>
        </w:rPr>
        <w:lastRenderedPageBreak/>
        <w:t xml:space="preserve">Pharmacological Management </w:t>
      </w:r>
      <w:r w:rsidR="00704FBE">
        <w:rPr>
          <w:rStyle w:val="Strong"/>
        </w:rPr>
        <w:t>of Mild Neurocognitive Disorder</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 xml:space="preserve">The client is an 82-year-old male patient with a progressive impairment in cognition, which has started to have a significant impact on his daily activities and autonomy. His inability to do calculations in cribbage and his disorientation in the car are both manifestations of impairment in memory, executive functioning, and spatial awareness. After completing a formal neuropsychological assessment, he received the diagnosis of mild neurocognitive disorder (NCD). Treatment of mild NCD in elderly patients requires cautious choice of drugs, as age-associated physiological shifts, comorbidities, and increased sensitivity to adverse drug reactions are to be considered. Between the three available options, lorazepam, olanzapine, and </w:t>
      </w:r>
      <w:proofErr w:type="spellStart"/>
      <w:r w:rsidRPr="00E74405">
        <w:rPr>
          <w:rFonts w:eastAsia="Times New Roman" w:cs="Times New Roman"/>
          <w:szCs w:val="24"/>
        </w:rPr>
        <w:t>memantine</w:t>
      </w:r>
      <w:proofErr w:type="spellEnd"/>
      <w:r w:rsidRPr="00E74405">
        <w:rPr>
          <w:rFonts w:eastAsia="Times New Roman" w:cs="Times New Roman"/>
          <w:szCs w:val="24"/>
        </w:rPr>
        <w:t>, a careful examination of safety, efficacy and clinical-suitability should be conducted to derive the most appropriate pharmacological intervention in this patient.</w:t>
      </w:r>
    </w:p>
    <w:p w:rsidR="00EF4169" w:rsidRDefault="00135D91" w:rsidP="00EF4169">
      <w:pPr>
        <w:pStyle w:val="font-claude-response-body"/>
        <w:spacing w:before="0" w:beforeAutospacing="0" w:after="0" w:afterAutospacing="0" w:line="480" w:lineRule="auto"/>
        <w:rPr>
          <w:rStyle w:val="Strong"/>
        </w:rPr>
      </w:pPr>
      <w:r w:rsidRPr="00704FBE">
        <w:rPr>
          <w:rStyle w:val="Strong"/>
        </w:rPr>
        <w:t>Medication Selection and Rationale</w:t>
      </w:r>
    </w:p>
    <w:p w:rsidR="00EF4169" w:rsidRPr="00EF4169" w:rsidRDefault="00EF4169" w:rsidP="00EF4169">
      <w:pPr>
        <w:pStyle w:val="font-claude-response-body"/>
        <w:spacing w:before="0" w:beforeAutospacing="0" w:after="0" w:afterAutospacing="0" w:line="480" w:lineRule="auto"/>
        <w:ind w:firstLine="720"/>
      </w:pPr>
      <w:r w:rsidRPr="00EF4169">
        <w:t xml:space="preserve">Of the three drugs on the list, the only one that is clinically suitable and reasonably safe to use on this patient is </w:t>
      </w:r>
      <w:proofErr w:type="spellStart"/>
      <w:r w:rsidRPr="00EF4169">
        <w:t>memantine</w:t>
      </w:r>
      <w:proofErr w:type="spellEnd"/>
      <w:r w:rsidRPr="00EF4169">
        <w:t xml:space="preserve">. In the case of neurocognitive decline, </w:t>
      </w:r>
      <w:proofErr w:type="spellStart"/>
      <w:r w:rsidRPr="00EF4169">
        <w:t>memantine</w:t>
      </w:r>
      <w:proofErr w:type="spellEnd"/>
      <w:r w:rsidRPr="00EF4169">
        <w:t xml:space="preserve"> is a specific drug aimed at the NMDA receptor and prevents the excessive activity of glutamate that damages neurons in the long term (</w:t>
      </w:r>
      <w:proofErr w:type="spellStart"/>
      <w:r w:rsidRPr="00EF4169">
        <w:t>Kuns</w:t>
      </w:r>
      <w:proofErr w:type="spellEnd"/>
      <w:r w:rsidRPr="00EF4169">
        <w:t xml:space="preserve"> et al., 2026). It is important to note that although the FDA issued approval of </w:t>
      </w:r>
      <w:proofErr w:type="spellStart"/>
      <w:r w:rsidRPr="00EF4169">
        <w:t>memantine</w:t>
      </w:r>
      <w:proofErr w:type="spellEnd"/>
      <w:r w:rsidRPr="00EF4169">
        <w:t xml:space="preserve"> for moderate-to-severe AD, clinicians often utilize it off-label on patients with early or mild cognitive impairment, as is the case here (</w:t>
      </w:r>
      <w:proofErr w:type="spellStart"/>
      <w:r w:rsidRPr="00EF4169">
        <w:t>Kuns</w:t>
      </w:r>
      <w:proofErr w:type="spellEnd"/>
      <w:r w:rsidRPr="00EF4169">
        <w:t xml:space="preserve"> et al., 2026). None of the current medications has any FDA approval for mild NCDs in particular, which implies that the clinical decision-making process should be informed by the existing evidence and safety risks instead of being a direct indication. </w:t>
      </w:r>
      <w:proofErr w:type="spellStart"/>
      <w:r w:rsidRPr="00EF4169">
        <w:t>Kuns</w:t>
      </w:r>
      <w:proofErr w:type="spellEnd"/>
      <w:r w:rsidRPr="00EF4169">
        <w:t xml:space="preserve"> et al. (2026) also demonstrate that a well-controlled titration schedule up to 10 mg twice a day can achieve significant effects on cognitive functions and behavioral stability in patients with neurocognitive disorders. In this </w:t>
      </w:r>
      <w:r w:rsidRPr="00EF4169">
        <w:lastRenderedPageBreak/>
        <w:t xml:space="preserve">case, </w:t>
      </w:r>
      <w:proofErr w:type="spellStart"/>
      <w:r w:rsidRPr="00EF4169">
        <w:t>memantine</w:t>
      </w:r>
      <w:proofErr w:type="spellEnd"/>
      <w:r w:rsidRPr="00EF4169">
        <w:t xml:space="preserve"> is a thoughtful and evidence-based decision that focuses not only on the cognitive well-being of this patient but on his overall safety as well.</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Why the Other Medications Are Not Appropriate</w:t>
      </w:r>
    </w:p>
    <w:p w:rsidR="00DB76D9" w:rsidRPr="00704FBE" w:rsidRDefault="00704FBE" w:rsidP="00704FBE">
      <w:pPr>
        <w:spacing w:after="0" w:line="480" w:lineRule="auto"/>
        <w:ind w:firstLine="720"/>
        <w:rPr>
          <w:rFonts w:eastAsia="Times New Roman" w:cs="Times New Roman"/>
          <w:szCs w:val="24"/>
        </w:rPr>
      </w:pPr>
      <w:r w:rsidRPr="00704FBE">
        <w:rPr>
          <w:rFonts w:eastAsia="Times New Roman" w:cs="Times New Roman"/>
          <w:szCs w:val="24"/>
        </w:rPr>
        <w:t xml:space="preserve">The other two possible medication alternatives, lorazepam and olanzapine, cannot be used in this patient due to specific but equally important reasons. Lorazepam is not a good choice and can be very harmful to this patient. The 2023 American Geriatrics Society Beers Criteria categorically defines all benzodiazepines as potentially harmful for the elderly </w:t>
      </w:r>
      <w:r w:rsidRPr="00704FBE">
        <w:rPr>
          <w:rFonts w:eastAsia="Times New Roman" w:cs="Times New Roman"/>
          <w:szCs w:val="24"/>
        </w:rPr>
        <w:fldChar w:fldCharType="begin"/>
      </w:r>
      <w:r w:rsidRPr="00704FBE">
        <w:rPr>
          <w:rFonts w:eastAsia="Times New Roman" w:cs="Times New Roman"/>
          <w:szCs w:val="24"/>
        </w:rPr>
        <w:instrText xml:space="preserve"> ADDIN ZOTERO_ITEM CSL_CITATION {"citationID":"uSobbyY1","properties":{"unsorted":false,"formattedCitation":"(Panel, 2023)","plainCitation":"(Panel, 2023)","noteIndex":0},"citationItems":[{"id":4066,"uris":["http://zotero.org/users/local/msOJBOCf/items/BFMRFYML"],"itemData":{"id":4066,"type":"article-journal","container-title":"Journal of the American Geriatrics Society","DOI":"10.1111/jgs.18372","issue":"7","note":"ISBN: 0002-8614","page":"2052-2081","publisher":"Wiley Online Library","title":"American Geriatrics Society 2023 updated AGS Beers Criteria® for potentially inappropriate medication use in older adults","volume":"71","author":[{"family":"Panel","given":"2023 American Geriatrics Society Beers Criteria® Update Expert"}],"issued":{"date-parts":[["2023"]]}}}],"schema":"https://github.com/citation-style-language/schema/raw/master/csl-citation.json"} </w:instrText>
      </w:r>
      <w:r w:rsidRPr="00704FBE">
        <w:rPr>
          <w:rFonts w:eastAsia="Times New Roman" w:cs="Times New Roman"/>
          <w:szCs w:val="24"/>
        </w:rPr>
        <w:fldChar w:fldCharType="separate"/>
      </w:r>
      <w:r w:rsidRPr="00704FBE">
        <w:rPr>
          <w:rFonts w:cs="Times New Roman"/>
          <w:szCs w:val="24"/>
        </w:rPr>
        <w:t>(Panel, 2023)</w:t>
      </w:r>
      <w:r w:rsidRPr="00704FBE">
        <w:rPr>
          <w:rFonts w:eastAsia="Times New Roman" w:cs="Times New Roman"/>
          <w:szCs w:val="24"/>
        </w:rPr>
        <w:fldChar w:fldCharType="end"/>
      </w:r>
      <w:r w:rsidRPr="00704FBE">
        <w:rPr>
          <w:rFonts w:eastAsia="Times New Roman" w:cs="Times New Roman"/>
          <w:szCs w:val="24"/>
        </w:rPr>
        <w:t xml:space="preserve">. Aging leads to a slower metabolic rate, and benzodiazepines are more likely to result in cognitive impairment, delirium, falls, fractures, and motor vehicle accidents in this age group </w:t>
      </w:r>
      <w:r w:rsidRPr="00704FBE">
        <w:rPr>
          <w:rFonts w:eastAsia="Times New Roman" w:cs="Times New Roman"/>
          <w:szCs w:val="24"/>
        </w:rPr>
        <w:fldChar w:fldCharType="begin"/>
      </w:r>
      <w:r w:rsidRPr="00704FBE">
        <w:rPr>
          <w:rFonts w:eastAsia="Times New Roman" w:cs="Times New Roman"/>
          <w:szCs w:val="24"/>
        </w:rPr>
        <w:instrText xml:space="preserve"> ADDIN ZOTERO_ITEM CSL_CITATION {"citationID":"O8iweHuc","properties":{"unsorted":false,"formattedCitation":"(Panel, 2023)","plainCitation":"(Panel, 2023)","noteIndex":0},"citationItems":[{"id":4066,"uris":["http://zotero.org/users/local/msOJBOCf/items/BFMRFYML"],"itemData":{"id":4066,"type":"article-journal","container-title":"Journal of the American Geriatrics Society","DOI":"10.1111/jgs.18372","issue":"7","note":"ISBN: 0002-8614","page":"2052-2081","publisher":"Wiley Online Library","title":"American Geriatrics Society 2023 updated AGS Beers Criteria® for potentially inappropriate medication use in older adults","volume":"71","author":[{"family":"Panel","given":"2023 American Geriatrics Society Beers Criteria® Update Expert"}],"issued":{"date-parts":[["2023"]]}}}],"schema":"https://github.com/citation-style-language/schema/raw/master/csl-citation.json"} </w:instrText>
      </w:r>
      <w:r w:rsidRPr="00704FBE">
        <w:rPr>
          <w:rFonts w:eastAsia="Times New Roman" w:cs="Times New Roman"/>
          <w:szCs w:val="24"/>
        </w:rPr>
        <w:fldChar w:fldCharType="separate"/>
      </w:r>
      <w:r w:rsidRPr="00704FBE">
        <w:rPr>
          <w:rFonts w:cs="Times New Roman"/>
          <w:szCs w:val="24"/>
        </w:rPr>
        <w:t>(Panel, 2023)</w:t>
      </w:r>
      <w:r w:rsidRPr="00704FBE">
        <w:rPr>
          <w:rFonts w:eastAsia="Times New Roman" w:cs="Times New Roman"/>
          <w:szCs w:val="24"/>
        </w:rPr>
        <w:fldChar w:fldCharType="end"/>
      </w:r>
      <w:r w:rsidR="00DB76D9" w:rsidRPr="00704FBE">
        <w:rPr>
          <w:rFonts w:eastAsia="Times New Roman" w:cs="Times New Roman"/>
          <w:szCs w:val="24"/>
        </w:rPr>
        <w:t>. Continued use lasting over two to four weeks in adults aged over 65 has also been linked to the heightened risk of developing Alzheimer's disease, as well as long-term memory and attention impairments that could continue even following the discontinuation (Benzodiazepine Information Coalition, 2024). In a patient with already recorded cognitive impairment and demonstrated disorientation when driving a car, an intervention of lorazepam would not only exacerbate his existing impairment but would expose him and others to high risk in any case.</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Olanzapine would not suit this patient as well. The FDA has called alert about higher mortality in aged patients with dementia who are given atypical antipsychotics, where studies have indicated that the risk of death is 1.6 to 1.7 times higher than with the placebo, mostly due to cardiovascular or infectious causes (</w:t>
      </w:r>
      <w:proofErr w:type="spellStart"/>
      <w:r w:rsidRPr="00E74405">
        <w:rPr>
          <w:rFonts w:eastAsia="Times New Roman" w:cs="Times New Roman"/>
          <w:szCs w:val="24"/>
        </w:rPr>
        <w:t>Lenzer</w:t>
      </w:r>
      <w:proofErr w:type="spellEnd"/>
      <w:r w:rsidRPr="00E74405">
        <w:rPr>
          <w:rFonts w:eastAsia="Times New Roman" w:cs="Times New Roman"/>
          <w:szCs w:val="24"/>
        </w:rPr>
        <w:t>, 2005). It is also linked to a higher susceptibility of cerebrovascular events and is not proven to treat dementia-related psychosis (Psychiatric News, 2004). As this patient has no signs of psychosis or gross behavioral abuses, the dangers of the use of olanzapine far more than the possible advantages, and the us</w:t>
      </w:r>
      <w:r w:rsidRPr="00704FBE">
        <w:rPr>
          <w:rFonts w:eastAsia="Times New Roman" w:cs="Times New Roman"/>
          <w:szCs w:val="24"/>
        </w:rPr>
        <w:t>e of olanzapine is unjustified.</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lastRenderedPageBreak/>
        <w:t>Dosing Schedule and Therapeutic Endpoint</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 xml:space="preserve">Having chosen </w:t>
      </w:r>
      <w:proofErr w:type="spellStart"/>
      <w:r w:rsidRPr="00E74405">
        <w:rPr>
          <w:rFonts w:eastAsia="Times New Roman" w:cs="Times New Roman"/>
          <w:szCs w:val="24"/>
        </w:rPr>
        <w:t>memantine</w:t>
      </w:r>
      <w:proofErr w:type="spellEnd"/>
      <w:r w:rsidRPr="00E74405">
        <w:rPr>
          <w:rFonts w:eastAsia="Times New Roman" w:cs="Times New Roman"/>
          <w:szCs w:val="24"/>
        </w:rPr>
        <w:t xml:space="preserve">, it is necessary to determine a correct dosing schedule. The typical immediate-release dose starts at 5mg per day with 5mg increments per week up to 10mg twice per day (Pope, 2025). The highest amount of the drug within a person with severely impaired kidneys should not rise above 5 mg two times in a single day (Pope, 2025). Assessment of renal function should thus be done before the initiation and during treatment. The treatment objective is not a disease reversal but stabilization or a more gradual decline of cognition. The tools, such as the </w:t>
      </w:r>
      <w:proofErr w:type="spellStart"/>
      <w:r w:rsidRPr="00E74405">
        <w:rPr>
          <w:rFonts w:eastAsia="Times New Roman" w:cs="Times New Roman"/>
          <w:szCs w:val="24"/>
        </w:rPr>
        <w:t>MoCA</w:t>
      </w:r>
      <w:proofErr w:type="spellEnd"/>
      <w:r w:rsidRPr="00E74405">
        <w:rPr>
          <w:rFonts w:eastAsia="Times New Roman" w:cs="Times New Roman"/>
          <w:szCs w:val="24"/>
        </w:rPr>
        <w:t xml:space="preserve"> or MMSE, should be used to consider progress every three to six months, with the emphasis on functional independence and quality of life (Pope, 2025). This organized stepwise titration and monitoring methodology helps in maintaining safety and ach</w:t>
      </w:r>
      <w:r w:rsidRPr="00704FBE">
        <w:rPr>
          <w:rFonts w:eastAsia="Times New Roman" w:cs="Times New Roman"/>
          <w:szCs w:val="24"/>
        </w:rPr>
        <w:t>ievable treatment expectations.</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Labs, Diagnostics, and Monitoring</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 xml:space="preserve">Baseline diagnostics must be carried out before starting </w:t>
      </w:r>
      <w:proofErr w:type="spellStart"/>
      <w:r w:rsidRPr="00E74405">
        <w:rPr>
          <w:rFonts w:eastAsia="Times New Roman" w:cs="Times New Roman"/>
          <w:szCs w:val="24"/>
        </w:rPr>
        <w:t>memantine</w:t>
      </w:r>
      <w:proofErr w:type="spellEnd"/>
      <w:r w:rsidRPr="00E74405">
        <w:rPr>
          <w:rFonts w:eastAsia="Times New Roman" w:cs="Times New Roman"/>
          <w:szCs w:val="24"/>
        </w:rPr>
        <w:t xml:space="preserve"> in order to have safe prescribing. Renal function tests, including </w:t>
      </w:r>
      <w:proofErr w:type="spellStart"/>
      <w:r w:rsidRPr="00E74405">
        <w:rPr>
          <w:rFonts w:eastAsia="Times New Roman" w:cs="Times New Roman"/>
          <w:szCs w:val="24"/>
        </w:rPr>
        <w:t>eGFR</w:t>
      </w:r>
      <w:proofErr w:type="spellEnd"/>
      <w:r w:rsidRPr="00E74405">
        <w:rPr>
          <w:rFonts w:eastAsia="Times New Roman" w:cs="Times New Roman"/>
          <w:szCs w:val="24"/>
        </w:rPr>
        <w:t xml:space="preserve">, should be reviewed prior to initiation (Khalid &amp; Kumar, 2025). An extensive metabolic profile, complete blood analysis, thyroid profile, and vitamin B12 level must also be ordered to exclude reversible causes of cognitive impairment (Thomas and </w:t>
      </w:r>
      <w:proofErr w:type="spellStart"/>
      <w:r w:rsidRPr="00E74405">
        <w:rPr>
          <w:rFonts w:eastAsia="Times New Roman" w:cs="Times New Roman"/>
          <w:szCs w:val="24"/>
        </w:rPr>
        <w:t>Grossberg</w:t>
      </w:r>
      <w:proofErr w:type="spellEnd"/>
      <w:r w:rsidRPr="00E74405">
        <w:rPr>
          <w:rFonts w:eastAsia="Times New Roman" w:cs="Times New Roman"/>
          <w:szCs w:val="24"/>
        </w:rPr>
        <w:t>, 2009). The brain imaging, including CT or MRI, can be regarded as a possible measure to rul</w:t>
      </w:r>
      <w:r w:rsidRPr="00704FBE">
        <w:rPr>
          <w:rFonts w:eastAsia="Times New Roman" w:cs="Times New Roman"/>
          <w:szCs w:val="24"/>
        </w:rPr>
        <w:t xml:space="preserve">e out structural abnormalities. </w:t>
      </w:r>
      <w:r w:rsidRPr="00E74405">
        <w:rPr>
          <w:rFonts w:eastAsia="Times New Roman" w:cs="Times New Roman"/>
          <w:szCs w:val="24"/>
        </w:rPr>
        <w:t>Follow-up with routine cognitive measures, assessment of functional status, and adverse effects, including dizziness or confusion, should be monitored. Periodic reassessment of renal function is advised, especially in older patients. These are necessary actions that can aid in maintaining the safety and efficacy of treatment in the long run.</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Patient and Caregiver Education</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lastRenderedPageBreak/>
        <w:t>Treatment requires educating the patient as well as his family. They should be advised to stick to the titration schedule and not to take twice the doses when missed. When multiple doses are missed, no drug should be resumed without a medical practitioner (</w:t>
      </w:r>
      <w:proofErr w:type="spellStart"/>
      <w:r w:rsidRPr="00E74405">
        <w:rPr>
          <w:rFonts w:eastAsia="Times New Roman" w:cs="Times New Roman"/>
          <w:szCs w:val="24"/>
        </w:rPr>
        <w:t>Memantine</w:t>
      </w:r>
      <w:proofErr w:type="spellEnd"/>
      <w:r w:rsidRPr="00E74405">
        <w:rPr>
          <w:rFonts w:eastAsia="Times New Roman" w:cs="Times New Roman"/>
          <w:szCs w:val="24"/>
        </w:rPr>
        <w:t>, 2026). Typical side effects are dizziness, headache, confusion, and insomnia, whereas more severe side effects need to be communicated in a timely manner (</w:t>
      </w:r>
      <w:proofErr w:type="spellStart"/>
      <w:r w:rsidRPr="00E74405">
        <w:rPr>
          <w:rFonts w:eastAsia="Times New Roman" w:cs="Times New Roman"/>
          <w:szCs w:val="24"/>
        </w:rPr>
        <w:t>Memantine</w:t>
      </w:r>
      <w:proofErr w:type="spellEnd"/>
      <w:r w:rsidRPr="00E74405">
        <w:rPr>
          <w:rFonts w:eastAsia="Times New Roman" w:cs="Times New Roman"/>
          <w:szCs w:val="24"/>
        </w:rPr>
        <w:t>, 2026).</w:t>
      </w:r>
      <w:r w:rsidRPr="00E74405">
        <w:rPr>
          <w:rFonts w:eastAsia="Times New Roman" w:cs="Times New Roman"/>
          <w:szCs w:val="24"/>
        </w:rPr>
        <w:br/>
        <w:t>Since the patient is sensitive to the talks about his condition, education ought to be presented in a supportive manner, making it clear that the focus of treating him is to help him stay independent, and not focusing on the decline. This method may enhance acceptance of treatment and promote longevity of adherence.</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Interdisciplinary Collaboration</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Mild cases of NCD need a multidisciplinary approach to manage them. The care team might consist of: primary care provider, neurologist, geriatric specialist, neuropsychologist, pharmacist (Heikkila, 2024). Occupational and speech therapies can also be a part of ensuring that the day-to-day functioning is maintained. Relatives and family members are important in the identification of the symptoms, medication adherence, and reporting of changes to the health care provider (Heikkila, 2024). This type of cooperation guarantees coordinated care and allows for meeting the medical and functional requirements of the patient.</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Nonadherence Assessment and Alternative Treatment Plan</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 xml:space="preserve">Nonadherence is a risk factor for this patient because of forgetfulness, denial of illness, and emotional sensitivity. Ensuring the possibility to independently manage medications and the family support level should be assessed. Memory impairment and unwillingness to come to terms with the diagnosis are common barriers. Some tips to enhance adherence involve using pill containers, keeping medications where they are easily visible, and engaging caregivers in making </w:t>
      </w:r>
      <w:r w:rsidRPr="00E74405">
        <w:rPr>
          <w:rFonts w:eastAsia="Times New Roman" w:cs="Times New Roman"/>
          <w:szCs w:val="24"/>
        </w:rPr>
        <w:lastRenderedPageBreak/>
        <w:t>reminders. It was demonstrated that the involvement of caregivers is more effective than using technology-based reminders alone (Harris et al., 2025). Follow-up procedures can also be structured and simplified to enhance compliance (Burgos-Alonso et al., 2024). Other options, like switching the formulation to liquid form or tightening up on supervision, should be considered in case adherence does not improve. Cognitive stimulation activities and structured social interaction can be effective non-pharmacological strategies to support cognitive functioning and enhance overall well-being. Integrating pharmacological and supportive treatment generates a more realistic and patient-focused care plan.</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Conclusion</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 xml:space="preserve">To sum up, </w:t>
      </w:r>
      <w:proofErr w:type="spellStart"/>
      <w:r w:rsidRPr="00E74405">
        <w:rPr>
          <w:rFonts w:eastAsia="Times New Roman" w:cs="Times New Roman"/>
          <w:szCs w:val="24"/>
        </w:rPr>
        <w:t>memantine</w:t>
      </w:r>
      <w:proofErr w:type="spellEnd"/>
      <w:r w:rsidRPr="00E74405">
        <w:rPr>
          <w:rFonts w:eastAsia="Times New Roman" w:cs="Times New Roman"/>
          <w:szCs w:val="24"/>
        </w:rPr>
        <w:t xml:space="preserve"> is the best drug to use in this 82-year-old patient with mild neurocognitive disorder because of its mechanism of action and fairly positive safety profile. Lorazepam and olanzapine are inappropriate since they can cause higher risks of cognitive impairment, adverse events, and death among older adults. Effective management involves a proper dose, frequent observation, patient and caregiver education, and interdisciplinary teamwork. It is also vital to deal with the possible nonadherence by implementing practical solutions. On the whole, it requires a balanced and patient-centered approach to maintain the independence and quality of life of this patient.</w:t>
      </w:r>
    </w:p>
    <w:p w:rsidR="002C46AA" w:rsidRDefault="002C46AA" w:rsidP="00E74405">
      <w:pPr>
        <w:spacing w:after="0" w:line="480" w:lineRule="auto"/>
        <w:rPr>
          <w:rStyle w:val="Strong"/>
          <w:rFonts w:eastAsia="Times New Roman" w:cs="Times New Roman"/>
          <w:szCs w:val="24"/>
        </w:rPr>
      </w:pPr>
      <w:r>
        <w:rPr>
          <w:rStyle w:val="Strong"/>
        </w:rPr>
        <w:br w:type="page"/>
      </w:r>
    </w:p>
    <w:p w:rsidR="00135D91" w:rsidRDefault="00135D91" w:rsidP="00E74405">
      <w:pPr>
        <w:pStyle w:val="font-claude-response-body"/>
        <w:spacing w:before="0" w:beforeAutospacing="0" w:after="0" w:afterAutospacing="0" w:line="480" w:lineRule="auto"/>
        <w:jc w:val="center"/>
      </w:pPr>
      <w:r>
        <w:rPr>
          <w:rStyle w:val="Strong"/>
        </w:rPr>
        <w:lastRenderedPageBreak/>
        <w:t>References</w:t>
      </w:r>
    </w:p>
    <w:p w:rsidR="002C46AA" w:rsidRPr="002C46AA" w:rsidRDefault="002C46AA" w:rsidP="00E74405">
      <w:pPr>
        <w:pStyle w:val="Bibliography"/>
      </w:pPr>
      <w:r w:rsidRPr="002C46AA">
        <w:t xml:space="preserve">Benzodiazepine Information Coalition. (2024). Impact on the Older Adult Population. </w:t>
      </w:r>
      <w:r w:rsidRPr="002C46AA">
        <w:rPr>
          <w:i/>
          <w:iCs/>
        </w:rPr>
        <w:t>Benzodiazepine Information Coalition</w:t>
      </w:r>
      <w:r w:rsidRPr="002C46AA">
        <w:t>. https://www.benzoinfo.com/benzodiazepine-older-adults-impact/</w:t>
      </w:r>
    </w:p>
    <w:p w:rsidR="002C46AA" w:rsidRPr="002C46AA" w:rsidRDefault="002C46AA" w:rsidP="00E74405">
      <w:pPr>
        <w:pStyle w:val="Bibliography"/>
      </w:pPr>
      <w:r w:rsidRPr="002C46AA">
        <w:t xml:space="preserve">Burgos-Alonso, N., </w:t>
      </w:r>
      <w:proofErr w:type="spellStart"/>
      <w:r w:rsidRPr="002C46AA">
        <w:t>Torrecilla</w:t>
      </w:r>
      <w:proofErr w:type="spellEnd"/>
      <w:r w:rsidRPr="002C46AA">
        <w:t xml:space="preserve">, M., </w:t>
      </w:r>
      <w:proofErr w:type="spellStart"/>
      <w:r w:rsidRPr="002C46AA">
        <w:t>Mendiguren</w:t>
      </w:r>
      <w:proofErr w:type="spellEnd"/>
      <w:r w:rsidRPr="002C46AA">
        <w:t xml:space="preserve">, A., Pérez-Gómez </w:t>
      </w:r>
      <w:proofErr w:type="spellStart"/>
      <w:r w:rsidRPr="002C46AA">
        <w:t>Moreta</w:t>
      </w:r>
      <w:proofErr w:type="spellEnd"/>
      <w:r w:rsidRPr="002C46AA">
        <w:t xml:space="preserve">, M., &amp; </w:t>
      </w:r>
      <w:proofErr w:type="spellStart"/>
      <w:r w:rsidRPr="002C46AA">
        <w:t>Bruzos-Cidón</w:t>
      </w:r>
      <w:proofErr w:type="spellEnd"/>
      <w:r w:rsidRPr="002C46AA">
        <w:t xml:space="preserve">, C. (2024). Strategies to Improve Therapeutic Adherence in Polymedicated Patients over 65 Years: A Systematic Review and Meta-Analysis. </w:t>
      </w:r>
      <w:r w:rsidRPr="002C46AA">
        <w:rPr>
          <w:i/>
          <w:iCs/>
        </w:rPr>
        <w:t>Pharmacy</w:t>
      </w:r>
      <w:r w:rsidRPr="002C46AA">
        <w:t xml:space="preserve">, </w:t>
      </w:r>
      <w:r w:rsidRPr="002C46AA">
        <w:rPr>
          <w:i/>
          <w:iCs/>
        </w:rPr>
        <w:t>12</w:t>
      </w:r>
      <w:r w:rsidRPr="002C46AA">
        <w:t>(1), 35. https://doi.org/10.3390/pharmacy12010035</w:t>
      </w:r>
    </w:p>
    <w:p w:rsidR="002C46AA" w:rsidRPr="002C46AA" w:rsidRDefault="002C46AA" w:rsidP="00E74405">
      <w:pPr>
        <w:pStyle w:val="Bibliography"/>
      </w:pPr>
      <w:r w:rsidRPr="002C46AA">
        <w:t xml:space="preserve">Harris, D., </w:t>
      </w:r>
      <w:proofErr w:type="spellStart"/>
      <w:r w:rsidRPr="002C46AA">
        <w:t>Mandarino</w:t>
      </w:r>
      <w:proofErr w:type="spellEnd"/>
      <w:r w:rsidRPr="002C46AA">
        <w:t xml:space="preserve">, M. J., Gregg, A. P., &amp; </w:t>
      </w:r>
      <w:proofErr w:type="spellStart"/>
      <w:r w:rsidRPr="002C46AA">
        <w:t>Freedberg</w:t>
      </w:r>
      <w:proofErr w:type="spellEnd"/>
      <w:r w:rsidRPr="002C46AA">
        <w:t xml:space="preserve">, A. (2025). Medication adherence: Challenges and strategies for older adults. </w:t>
      </w:r>
      <w:r w:rsidRPr="002C46AA">
        <w:rPr>
          <w:i/>
          <w:iCs/>
        </w:rPr>
        <w:t>The Mental Health Clinician</w:t>
      </w:r>
      <w:r w:rsidRPr="002C46AA">
        <w:t xml:space="preserve">, </w:t>
      </w:r>
      <w:r w:rsidRPr="002C46AA">
        <w:rPr>
          <w:i/>
          <w:iCs/>
        </w:rPr>
        <w:t>15</w:t>
      </w:r>
      <w:r w:rsidRPr="002C46AA">
        <w:t>(2), 40–42. https://doi.org/10.9740/mhc.2025.04.040</w:t>
      </w:r>
    </w:p>
    <w:p w:rsidR="002C46AA" w:rsidRPr="002C46AA" w:rsidRDefault="002C46AA" w:rsidP="00E74405">
      <w:pPr>
        <w:pStyle w:val="Bibliography"/>
      </w:pPr>
      <w:r w:rsidRPr="002C46AA">
        <w:t xml:space="preserve">Khalid, L., &amp; Kumar, A. (2025). Audit of Renal Function Monitoring and Indications in Patients Prescribed </w:t>
      </w:r>
      <w:proofErr w:type="spellStart"/>
      <w:r w:rsidRPr="002C46AA">
        <w:t>Memantine</w:t>
      </w:r>
      <w:proofErr w:type="spellEnd"/>
      <w:r w:rsidRPr="002C46AA">
        <w:t xml:space="preserve"> at </w:t>
      </w:r>
      <w:proofErr w:type="spellStart"/>
      <w:r w:rsidRPr="002C46AA">
        <w:t>Ribchester</w:t>
      </w:r>
      <w:proofErr w:type="spellEnd"/>
      <w:r w:rsidRPr="002C46AA">
        <w:t xml:space="preserve"> Centre: A Review of Compliance With Pre-Prescription Guidelines. </w:t>
      </w:r>
      <w:proofErr w:type="spellStart"/>
      <w:r w:rsidRPr="002C46AA">
        <w:rPr>
          <w:i/>
          <w:iCs/>
        </w:rPr>
        <w:t>BJPsych</w:t>
      </w:r>
      <w:proofErr w:type="spellEnd"/>
      <w:r w:rsidRPr="002C46AA">
        <w:rPr>
          <w:i/>
          <w:iCs/>
        </w:rPr>
        <w:t xml:space="preserve"> Open</w:t>
      </w:r>
      <w:r w:rsidRPr="002C46AA">
        <w:t xml:space="preserve">, </w:t>
      </w:r>
      <w:r w:rsidRPr="002C46AA">
        <w:rPr>
          <w:i/>
          <w:iCs/>
        </w:rPr>
        <w:t>11</w:t>
      </w:r>
      <w:r w:rsidRPr="002C46AA">
        <w:t>(</w:t>
      </w:r>
      <w:proofErr w:type="spellStart"/>
      <w:r w:rsidRPr="002C46AA">
        <w:t>Suppl</w:t>
      </w:r>
      <w:proofErr w:type="spellEnd"/>
      <w:r w:rsidRPr="002C46AA">
        <w:t xml:space="preserve"> 1), S250. https://doi.org/10.1192/bjo.2025.10618</w:t>
      </w:r>
    </w:p>
    <w:p w:rsidR="002C46AA" w:rsidRPr="002C46AA" w:rsidRDefault="002C46AA" w:rsidP="00E74405">
      <w:pPr>
        <w:pStyle w:val="Bibliography"/>
      </w:pPr>
      <w:proofErr w:type="spellStart"/>
      <w:r w:rsidRPr="002C46AA">
        <w:t>Kuns</w:t>
      </w:r>
      <w:proofErr w:type="spellEnd"/>
      <w:r w:rsidRPr="002C46AA">
        <w:t xml:space="preserve">, B., </w:t>
      </w:r>
      <w:proofErr w:type="spellStart"/>
      <w:r w:rsidRPr="002C46AA">
        <w:t>Rosani</w:t>
      </w:r>
      <w:proofErr w:type="spellEnd"/>
      <w:r w:rsidRPr="002C46AA">
        <w:t xml:space="preserve">, A., Patel, P., &amp; Varghese, D. (2026). </w:t>
      </w:r>
      <w:proofErr w:type="spellStart"/>
      <w:r w:rsidRPr="002C46AA">
        <w:t>Memantine</w:t>
      </w:r>
      <w:proofErr w:type="spellEnd"/>
      <w:r w:rsidRPr="002C46AA">
        <w:t xml:space="preserve">. In </w:t>
      </w:r>
      <w:proofErr w:type="spellStart"/>
      <w:r w:rsidRPr="002C46AA">
        <w:rPr>
          <w:i/>
          <w:iCs/>
        </w:rPr>
        <w:t>StatPearls</w:t>
      </w:r>
      <w:proofErr w:type="spellEnd"/>
      <w:r w:rsidRPr="002C46AA">
        <w:t xml:space="preserve">. </w:t>
      </w:r>
      <w:proofErr w:type="spellStart"/>
      <w:r w:rsidRPr="002C46AA">
        <w:t>StatPearls</w:t>
      </w:r>
      <w:proofErr w:type="spellEnd"/>
      <w:r w:rsidRPr="002C46AA">
        <w:t xml:space="preserve"> Publishing. http://www.ncbi.nlm.nih.gov/books/NBK500025/</w:t>
      </w:r>
    </w:p>
    <w:p w:rsidR="002C46AA" w:rsidRPr="002C46AA" w:rsidRDefault="002C46AA" w:rsidP="00E74405">
      <w:pPr>
        <w:pStyle w:val="Bibliography"/>
      </w:pPr>
      <w:proofErr w:type="spellStart"/>
      <w:r w:rsidRPr="002C46AA">
        <w:rPr>
          <w:i/>
          <w:iCs/>
        </w:rPr>
        <w:t>Memantine</w:t>
      </w:r>
      <w:proofErr w:type="spellEnd"/>
      <w:r w:rsidRPr="002C46AA">
        <w:rPr>
          <w:i/>
          <w:iCs/>
        </w:rPr>
        <w:t>: Package Insert / Prescribing Information / MOA</w:t>
      </w:r>
      <w:r w:rsidRPr="002C46AA">
        <w:t>. (2026). Drugs.Com. https://www.drugs.com/pro/memantine.html</w:t>
      </w:r>
    </w:p>
    <w:p w:rsidR="002C46AA" w:rsidRPr="002C46AA" w:rsidRDefault="002C46AA" w:rsidP="00E74405">
      <w:pPr>
        <w:pStyle w:val="Bibliography"/>
      </w:pPr>
      <w:r w:rsidRPr="002C46AA">
        <w:t xml:space="preserve">Panel, 2023 American Geriatrics Society Beers Criteria® Update Expert. (2023). American Geriatrics Society 2023 updated AGS Beers Criteria® for potentially inappropriate medication use in older adults. </w:t>
      </w:r>
      <w:r w:rsidRPr="002C46AA">
        <w:rPr>
          <w:i/>
          <w:iCs/>
        </w:rPr>
        <w:t>Journal of the American Geriatrics Society</w:t>
      </w:r>
      <w:r w:rsidRPr="002C46AA">
        <w:t xml:space="preserve">, </w:t>
      </w:r>
      <w:r w:rsidRPr="002C46AA">
        <w:rPr>
          <w:i/>
          <w:iCs/>
        </w:rPr>
        <w:t>71</w:t>
      </w:r>
      <w:r w:rsidRPr="002C46AA">
        <w:t>(7), 2052–2081. https://doi.org/10.1111/jgs.18372</w:t>
      </w:r>
    </w:p>
    <w:p w:rsidR="002C46AA" w:rsidRPr="002C46AA" w:rsidRDefault="002C46AA" w:rsidP="00E74405">
      <w:pPr>
        <w:pStyle w:val="Bibliography"/>
      </w:pPr>
      <w:r w:rsidRPr="002C46AA">
        <w:lastRenderedPageBreak/>
        <w:t xml:space="preserve">Pope, C. (2025). </w:t>
      </w:r>
      <w:proofErr w:type="spellStart"/>
      <w:r w:rsidRPr="002C46AA">
        <w:rPr>
          <w:i/>
          <w:iCs/>
        </w:rPr>
        <w:t>Memantine</w:t>
      </w:r>
      <w:proofErr w:type="spellEnd"/>
      <w:r w:rsidRPr="002C46AA">
        <w:rPr>
          <w:i/>
          <w:iCs/>
        </w:rPr>
        <w:t>: Uses, Dosage, Side Effects, Warnings</w:t>
      </w:r>
      <w:r w:rsidRPr="002C46AA">
        <w:t>. Drugs.Com. https://www.drugs.com/memantine.html</w:t>
      </w:r>
    </w:p>
    <w:p w:rsidR="002C46AA" w:rsidRPr="002C46AA" w:rsidRDefault="002C46AA" w:rsidP="00E74405">
      <w:pPr>
        <w:pStyle w:val="Bibliography"/>
      </w:pPr>
      <w:r w:rsidRPr="002C46AA">
        <w:t xml:space="preserve">Thomas, S. J., &amp; </w:t>
      </w:r>
      <w:proofErr w:type="spellStart"/>
      <w:r w:rsidRPr="002C46AA">
        <w:t>Grossberg</w:t>
      </w:r>
      <w:proofErr w:type="spellEnd"/>
      <w:r w:rsidRPr="002C46AA">
        <w:t xml:space="preserve">, G. T. (2009). </w:t>
      </w:r>
      <w:proofErr w:type="spellStart"/>
      <w:r w:rsidRPr="002C46AA">
        <w:t>Memantine</w:t>
      </w:r>
      <w:proofErr w:type="spellEnd"/>
      <w:r w:rsidRPr="002C46AA">
        <w:t xml:space="preserve">: A review of studies into its safety and efficacy in treating Alzheimer’s disease and other dementias. </w:t>
      </w:r>
      <w:r w:rsidRPr="002C46AA">
        <w:rPr>
          <w:i/>
          <w:iCs/>
        </w:rPr>
        <w:t>Clinical Interventions in Aging</w:t>
      </w:r>
      <w:r w:rsidRPr="002C46AA">
        <w:t xml:space="preserve">, </w:t>
      </w:r>
      <w:r w:rsidRPr="002C46AA">
        <w:rPr>
          <w:i/>
          <w:iCs/>
        </w:rPr>
        <w:t>4</w:t>
      </w:r>
      <w:r w:rsidRPr="002C46AA">
        <w:t>, 367–377. https://doi.org/10.2147/cia.s6666</w:t>
      </w:r>
    </w:p>
    <w:p w:rsidR="006A02AC" w:rsidRPr="00135D91" w:rsidRDefault="008E4467" w:rsidP="00E74405">
      <w:pPr>
        <w:spacing w:after="0" w:line="480" w:lineRule="auto"/>
      </w:pPr>
    </w:p>
    <w:sectPr w:rsidR="006A02AC" w:rsidRPr="00135D9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67" w:rsidRDefault="008E4467" w:rsidP="002C46AA">
      <w:pPr>
        <w:spacing w:after="0" w:line="240" w:lineRule="auto"/>
      </w:pPr>
      <w:r>
        <w:separator/>
      </w:r>
    </w:p>
  </w:endnote>
  <w:endnote w:type="continuationSeparator" w:id="0">
    <w:p w:rsidR="008E4467" w:rsidRDefault="008E4467" w:rsidP="002C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67" w:rsidRDefault="008E4467" w:rsidP="002C46AA">
      <w:pPr>
        <w:spacing w:after="0" w:line="240" w:lineRule="auto"/>
      </w:pPr>
      <w:r>
        <w:separator/>
      </w:r>
    </w:p>
  </w:footnote>
  <w:footnote w:type="continuationSeparator" w:id="0">
    <w:p w:rsidR="008E4467" w:rsidRDefault="008E4467" w:rsidP="002C4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226266"/>
      <w:docPartObj>
        <w:docPartGallery w:val="Page Numbers (Top of Page)"/>
        <w:docPartUnique/>
      </w:docPartObj>
    </w:sdtPr>
    <w:sdtEndPr>
      <w:rPr>
        <w:noProof/>
      </w:rPr>
    </w:sdtEndPr>
    <w:sdtContent>
      <w:p w:rsidR="002C46AA" w:rsidRDefault="002C46AA">
        <w:pPr>
          <w:pStyle w:val="Header"/>
          <w:jc w:val="right"/>
        </w:pPr>
        <w:r>
          <w:fldChar w:fldCharType="begin"/>
        </w:r>
        <w:r>
          <w:instrText xml:space="preserve"> PAGE   \* MERGEFORMAT </w:instrText>
        </w:r>
        <w:r>
          <w:fldChar w:fldCharType="separate"/>
        </w:r>
        <w:r w:rsidR="00EF4169">
          <w:rPr>
            <w:noProof/>
          </w:rPr>
          <w:t>8</w:t>
        </w:r>
        <w:r>
          <w:rPr>
            <w:noProof/>
          </w:rPr>
          <w:fldChar w:fldCharType="end"/>
        </w:r>
      </w:p>
    </w:sdtContent>
  </w:sdt>
  <w:p w:rsidR="002C46AA" w:rsidRDefault="002C4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84"/>
    <w:rsid w:val="00135D91"/>
    <w:rsid w:val="002806CA"/>
    <w:rsid w:val="002C46AA"/>
    <w:rsid w:val="002F172E"/>
    <w:rsid w:val="003D723C"/>
    <w:rsid w:val="00463973"/>
    <w:rsid w:val="00514046"/>
    <w:rsid w:val="00582A14"/>
    <w:rsid w:val="00683231"/>
    <w:rsid w:val="00704FBE"/>
    <w:rsid w:val="008E4467"/>
    <w:rsid w:val="009A1273"/>
    <w:rsid w:val="00AE79C8"/>
    <w:rsid w:val="00B71684"/>
    <w:rsid w:val="00DB1464"/>
    <w:rsid w:val="00DB76D9"/>
    <w:rsid w:val="00E23B42"/>
    <w:rsid w:val="00E74405"/>
    <w:rsid w:val="00EF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B40EA-08A0-4C76-B8DE-17F27F2F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paragraph" w:styleId="Heading3">
    <w:name w:val="heading 3"/>
    <w:basedOn w:val="Normal"/>
    <w:link w:val="Heading3Char"/>
    <w:uiPriority w:val="9"/>
    <w:qFormat/>
    <w:rsid w:val="002C46A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B7168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684"/>
    <w:rPr>
      <w:b/>
      <w:bCs/>
    </w:rPr>
  </w:style>
  <w:style w:type="character" w:customStyle="1" w:styleId="inline-flex">
    <w:name w:val="inline-flex"/>
    <w:basedOn w:val="DefaultParagraphFont"/>
    <w:rsid w:val="00B71684"/>
  </w:style>
  <w:style w:type="character" w:customStyle="1" w:styleId="text-nowrap">
    <w:name w:val="text-nowrap"/>
    <w:basedOn w:val="DefaultParagraphFont"/>
    <w:rsid w:val="00B71684"/>
  </w:style>
  <w:style w:type="character" w:styleId="Hyperlink">
    <w:name w:val="Hyperlink"/>
    <w:basedOn w:val="DefaultParagraphFont"/>
    <w:uiPriority w:val="99"/>
    <w:semiHidden/>
    <w:unhideWhenUsed/>
    <w:rsid w:val="00135D91"/>
    <w:rPr>
      <w:color w:val="0000FF"/>
      <w:u w:val="single"/>
    </w:rPr>
  </w:style>
  <w:style w:type="character" w:styleId="Emphasis">
    <w:name w:val="Emphasis"/>
    <w:basedOn w:val="DefaultParagraphFont"/>
    <w:uiPriority w:val="20"/>
    <w:qFormat/>
    <w:rsid w:val="00135D91"/>
    <w:rPr>
      <w:i/>
      <w:iCs/>
    </w:rPr>
  </w:style>
  <w:style w:type="paragraph" w:styleId="NormalWeb">
    <w:name w:val="Normal (Web)"/>
    <w:basedOn w:val="Normal"/>
    <w:uiPriority w:val="99"/>
    <w:unhideWhenUsed/>
    <w:rsid w:val="00E23B42"/>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2C46AA"/>
    <w:pPr>
      <w:spacing w:after="0" w:line="480" w:lineRule="auto"/>
      <w:ind w:left="720" w:hanging="720"/>
    </w:pPr>
  </w:style>
  <w:style w:type="paragraph" w:styleId="Header">
    <w:name w:val="header"/>
    <w:basedOn w:val="Normal"/>
    <w:link w:val="HeaderChar"/>
    <w:uiPriority w:val="99"/>
    <w:unhideWhenUsed/>
    <w:rsid w:val="002C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AA"/>
    <w:rPr>
      <w:rFonts w:ascii="Times New Roman" w:hAnsi="Times New Roman"/>
      <w:sz w:val="24"/>
    </w:rPr>
  </w:style>
  <w:style w:type="paragraph" w:styleId="Footer">
    <w:name w:val="footer"/>
    <w:basedOn w:val="Normal"/>
    <w:link w:val="FooterChar"/>
    <w:uiPriority w:val="99"/>
    <w:unhideWhenUsed/>
    <w:rsid w:val="002C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AA"/>
    <w:rPr>
      <w:rFonts w:ascii="Times New Roman" w:hAnsi="Times New Roman"/>
      <w:sz w:val="24"/>
    </w:rPr>
  </w:style>
  <w:style w:type="character" w:customStyle="1" w:styleId="Heading3Char">
    <w:name w:val="Heading 3 Char"/>
    <w:basedOn w:val="DefaultParagraphFont"/>
    <w:link w:val="Heading3"/>
    <w:uiPriority w:val="9"/>
    <w:rsid w:val="002C46A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1174">
      <w:bodyDiv w:val="1"/>
      <w:marLeft w:val="0"/>
      <w:marRight w:val="0"/>
      <w:marTop w:val="0"/>
      <w:marBottom w:val="0"/>
      <w:divBdr>
        <w:top w:val="none" w:sz="0" w:space="0" w:color="auto"/>
        <w:left w:val="none" w:sz="0" w:space="0" w:color="auto"/>
        <w:bottom w:val="none" w:sz="0" w:space="0" w:color="auto"/>
        <w:right w:val="none" w:sz="0" w:space="0" w:color="auto"/>
      </w:divBdr>
    </w:div>
    <w:div w:id="138620152">
      <w:bodyDiv w:val="1"/>
      <w:marLeft w:val="0"/>
      <w:marRight w:val="0"/>
      <w:marTop w:val="0"/>
      <w:marBottom w:val="0"/>
      <w:divBdr>
        <w:top w:val="none" w:sz="0" w:space="0" w:color="auto"/>
        <w:left w:val="none" w:sz="0" w:space="0" w:color="auto"/>
        <w:bottom w:val="none" w:sz="0" w:space="0" w:color="auto"/>
        <w:right w:val="none" w:sz="0" w:space="0" w:color="auto"/>
      </w:divBdr>
      <w:divsChild>
        <w:div w:id="2105688633">
          <w:marLeft w:val="0"/>
          <w:marRight w:val="0"/>
          <w:marTop w:val="120"/>
          <w:marBottom w:val="120"/>
          <w:divBdr>
            <w:top w:val="none" w:sz="0" w:space="0" w:color="auto"/>
            <w:left w:val="none" w:sz="0" w:space="0" w:color="auto"/>
            <w:bottom w:val="none" w:sz="0" w:space="0" w:color="auto"/>
            <w:right w:val="none" w:sz="0" w:space="0" w:color="auto"/>
          </w:divBdr>
        </w:div>
        <w:div w:id="764493175">
          <w:marLeft w:val="0"/>
          <w:marRight w:val="0"/>
          <w:marTop w:val="120"/>
          <w:marBottom w:val="120"/>
          <w:divBdr>
            <w:top w:val="none" w:sz="0" w:space="0" w:color="auto"/>
            <w:left w:val="none" w:sz="0" w:space="0" w:color="auto"/>
            <w:bottom w:val="none" w:sz="0" w:space="0" w:color="auto"/>
            <w:right w:val="none" w:sz="0" w:space="0" w:color="auto"/>
          </w:divBdr>
        </w:div>
      </w:divsChild>
    </w:div>
    <w:div w:id="158738665">
      <w:bodyDiv w:val="1"/>
      <w:marLeft w:val="0"/>
      <w:marRight w:val="0"/>
      <w:marTop w:val="0"/>
      <w:marBottom w:val="0"/>
      <w:divBdr>
        <w:top w:val="none" w:sz="0" w:space="0" w:color="auto"/>
        <w:left w:val="none" w:sz="0" w:space="0" w:color="auto"/>
        <w:bottom w:val="none" w:sz="0" w:space="0" w:color="auto"/>
        <w:right w:val="none" w:sz="0" w:space="0" w:color="auto"/>
      </w:divBdr>
      <w:divsChild>
        <w:div w:id="622275387">
          <w:marLeft w:val="0"/>
          <w:marRight w:val="0"/>
          <w:marTop w:val="0"/>
          <w:marBottom w:val="0"/>
          <w:divBdr>
            <w:top w:val="none" w:sz="0" w:space="0" w:color="auto"/>
            <w:left w:val="none" w:sz="0" w:space="0" w:color="auto"/>
            <w:bottom w:val="none" w:sz="0" w:space="0" w:color="auto"/>
            <w:right w:val="none" w:sz="0" w:space="0" w:color="auto"/>
          </w:divBdr>
          <w:divsChild>
            <w:div w:id="1250383949">
              <w:marLeft w:val="0"/>
              <w:marRight w:val="0"/>
              <w:marTop w:val="0"/>
              <w:marBottom w:val="0"/>
              <w:divBdr>
                <w:top w:val="none" w:sz="0" w:space="0" w:color="auto"/>
                <w:left w:val="none" w:sz="0" w:space="0" w:color="auto"/>
                <w:bottom w:val="none" w:sz="0" w:space="0" w:color="auto"/>
                <w:right w:val="none" w:sz="0" w:space="0" w:color="auto"/>
              </w:divBdr>
              <w:divsChild>
                <w:div w:id="1277636370">
                  <w:marLeft w:val="0"/>
                  <w:marRight w:val="0"/>
                  <w:marTop w:val="0"/>
                  <w:marBottom w:val="0"/>
                  <w:divBdr>
                    <w:top w:val="none" w:sz="0" w:space="0" w:color="auto"/>
                    <w:left w:val="none" w:sz="0" w:space="0" w:color="auto"/>
                    <w:bottom w:val="none" w:sz="0" w:space="0" w:color="auto"/>
                    <w:right w:val="none" w:sz="0" w:space="0" w:color="auto"/>
                  </w:divBdr>
                  <w:divsChild>
                    <w:div w:id="1127317061">
                      <w:marLeft w:val="0"/>
                      <w:marRight w:val="0"/>
                      <w:marTop w:val="0"/>
                      <w:marBottom w:val="0"/>
                      <w:divBdr>
                        <w:top w:val="none" w:sz="0" w:space="0" w:color="auto"/>
                        <w:left w:val="none" w:sz="0" w:space="0" w:color="auto"/>
                        <w:bottom w:val="none" w:sz="0" w:space="0" w:color="auto"/>
                        <w:right w:val="none" w:sz="0" w:space="0" w:color="auto"/>
                      </w:divBdr>
                      <w:divsChild>
                        <w:div w:id="1365590943">
                          <w:marLeft w:val="0"/>
                          <w:marRight w:val="0"/>
                          <w:marTop w:val="0"/>
                          <w:marBottom w:val="0"/>
                          <w:divBdr>
                            <w:top w:val="none" w:sz="0" w:space="0" w:color="auto"/>
                            <w:left w:val="none" w:sz="0" w:space="0" w:color="auto"/>
                            <w:bottom w:val="none" w:sz="0" w:space="0" w:color="auto"/>
                            <w:right w:val="none" w:sz="0" w:space="0" w:color="auto"/>
                          </w:divBdr>
                          <w:divsChild>
                            <w:div w:id="59909531">
                              <w:marLeft w:val="0"/>
                              <w:marRight w:val="0"/>
                              <w:marTop w:val="0"/>
                              <w:marBottom w:val="0"/>
                              <w:divBdr>
                                <w:top w:val="none" w:sz="0" w:space="0" w:color="auto"/>
                                <w:left w:val="none" w:sz="0" w:space="0" w:color="auto"/>
                                <w:bottom w:val="none" w:sz="0" w:space="0" w:color="auto"/>
                                <w:right w:val="none" w:sz="0" w:space="0" w:color="auto"/>
                              </w:divBdr>
                              <w:divsChild>
                                <w:div w:id="1269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96826">
      <w:bodyDiv w:val="1"/>
      <w:marLeft w:val="0"/>
      <w:marRight w:val="0"/>
      <w:marTop w:val="0"/>
      <w:marBottom w:val="0"/>
      <w:divBdr>
        <w:top w:val="none" w:sz="0" w:space="0" w:color="auto"/>
        <w:left w:val="none" w:sz="0" w:space="0" w:color="auto"/>
        <w:bottom w:val="none" w:sz="0" w:space="0" w:color="auto"/>
        <w:right w:val="none" w:sz="0" w:space="0" w:color="auto"/>
      </w:divBdr>
    </w:div>
    <w:div w:id="323555015">
      <w:bodyDiv w:val="1"/>
      <w:marLeft w:val="0"/>
      <w:marRight w:val="0"/>
      <w:marTop w:val="0"/>
      <w:marBottom w:val="0"/>
      <w:divBdr>
        <w:top w:val="none" w:sz="0" w:space="0" w:color="auto"/>
        <w:left w:val="none" w:sz="0" w:space="0" w:color="auto"/>
        <w:bottom w:val="none" w:sz="0" w:space="0" w:color="auto"/>
        <w:right w:val="none" w:sz="0" w:space="0" w:color="auto"/>
      </w:divBdr>
      <w:divsChild>
        <w:div w:id="1479414666">
          <w:marLeft w:val="0"/>
          <w:marRight w:val="0"/>
          <w:marTop w:val="120"/>
          <w:marBottom w:val="120"/>
          <w:divBdr>
            <w:top w:val="none" w:sz="0" w:space="0" w:color="auto"/>
            <w:left w:val="none" w:sz="0" w:space="0" w:color="auto"/>
            <w:bottom w:val="none" w:sz="0" w:space="0" w:color="auto"/>
            <w:right w:val="none" w:sz="0" w:space="0" w:color="auto"/>
          </w:divBdr>
        </w:div>
      </w:divsChild>
    </w:div>
    <w:div w:id="493571281">
      <w:bodyDiv w:val="1"/>
      <w:marLeft w:val="0"/>
      <w:marRight w:val="0"/>
      <w:marTop w:val="0"/>
      <w:marBottom w:val="0"/>
      <w:divBdr>
        <w:top w:val="none" w:sz="0" w:space="0" w:color="auto"/>
        <w:left w:val="none" w:sz="0" w:space="0" w:color="auto"/>
        <w:bottom w:val="none" w:sz="0" w:space="0" w:color="auto"/>
        <w:right w:val="none" w:sz="0" w:space="0" w:color="auto"/>
      </w:divBdr>
    </w:div>
    <w:div w:id="508298182">
      <w:bodyDiv w:val="1"/>
      <w:marLeft w:val="0"/>
      <w:marRight w:val="0"/>
      <w:marTop w:val="0"/>
      <w:marBottom w:val="0"/>
      <w:divBdr>
        <w:top w:val="none" w:sz="0" w:space="0" w:color="auto"/>
        <w:left w:val="none" w:sz="0" w:space="0" w:color="auto"/>
        <w:bottom w:val="none" w:sz="0" w:space="0" w:color="auto"/>
        <w:right w:val="none" w:sz="0" w:space="0" w:color="auto"/>
      </w:divBdr>
    </w:div>
    <w:div w:id="701904686">
      <w:bodyDiv w:val="1"/>
      <w:marLeft w:val="0"/>
      <w:marRight w:val="0"/>
      <w:marTop w:val="0"/>
      <w:marBottom w:val="0"/>
      <w:divBdr>
        <w:top w:val="none" w:sz="0" w:space="0" w:color="auto"/>
        <w:left w:val="none" w:sz="0" w:space="0" w:color="auto"/>
        <w:bottom w:val="none" w:sz="0" w:space="0" w:color="auto"/>
        <w:right w:val="none" w:sz="0" w:space="0" w:color="auto"/>
      </w:divBdr>
    </w:div>
    <w:div w:id="714504427">
      <w:bodyDiv w:val="1"/>
      <w:marLeft w:val="0"/>
      <w:marRight w:val="0"/>
      <w:marTop w:val="0"/>
      <w:marBottom w:val="0"/>
      <w:divBdr>
        <w:top w:val="none" w:sz="0" w:space="0" w:color="auto"/>
        <w:left w:val="none" w:sz="0" w:space="0" w:color="auto"/>
        <w:bottom w:val="none" w:sz="0" w:space="0" w:color="auto"/>
        <w:right w:val="none" w:sz="0" w:space="0" w:color="auto"/>
      </w:divBdr>
      <w:divsChild>
        <w:div w:id="1552039738">
          <w:marLeft w:val="0"/>
          <w:marRight w:val="0"/>
          <w:marTop w:val="120"/>
          <w:marBottom w:val="120"/>
          <w:divBdr>
            <w:top w:val="none" w:sz="0" w:space="0" w:color="auto"/>
            <w:left w:val="none" w:sz="0" w:space="0" w:color="auto"/>
            <w:bottom w:val="none" w:sz="0" w:space="0" w:color="auto"/>
            <w:right w:val="none" w:sz="0" w:space="0" w:color="auto"/>
          </w:divBdr>
        </w:div>
        <w:div w:id="608467083">
          <w:marLeft w:val="0"/>
          <w:marRight w:val="0"/>
          <w:marTop w:val="120"/>
          <w:marBottom w:val="120"/>
          <w:divBdr>
            <w:top w:val="none" w:sz="0" w:space="0" w:color="auto"/>
            <w:left w:val="none" w:sz="0" w:space="0" w:color="auto"/>
            <w:bottom w:val="none" w:sz="0" w:space="0" w:color="auto"/>
            <w:right w:val="none" w:sz="0" w:space="0" w:color="auto"/>
          </w:divBdr>
        </w:div>
      </w:divsChild>
    </w:div>
    <w:div w:id="714542840">
      <w:bodyDiv w:val="1"/>
      <w:marLeft w:val="0"/>
      <w:marRight w:val="0"/>
      <w:marTop w:val="0"/>
      <w:marBottom w:val="0"/>
      <w:divBdr>
        <w:top w:val="none" w:sz="0" w:space="0" w:color="auto"/>
        <w:left w:val="none" w:sz="0" w:space="0" w:color="auto"/>
        <w:bottom w:val="none" w:sz="0" w:space="0" w:color="auto"/>
        <w:right w:val="none" w:sz="0" w:space="0" w:color="auto"/>
      </w:divBdr>
      <w:divsChild>
        <w:div w:id="793790853">
          <w:marLeft w:val="0"/>
          <w:marRight w:val="0"/>
          <w:marTop w:val="120"/>
          <w:marBottom w:val="120"/>
          <w:divBdr>
            <w:top w:val="none" w:sz="0" w:space="0" w:color="auto"/>
            <w:left w:val="none" w:sz="0" w:space="0" w:color="auto"/>
            <w:bottom w:val="none" w:sz="0" w:space="0" w:color="auto"/>
            <w:right w:val="none" w:sz="0" w:space="0" w:color="auto"/>
          </w:divBdr>
        </w:div>
        <w:div w:id="313486802">
          <w:marLeft w:val="0"/>
          <w:marRight w:val="0"/>
          <w:marTop w:val="120"/>
          <w:marBottom w:val="120"/>
          <w:divBdr>
            <w:top w:val="none" w:sz="0" w:space="0" w:color="auto"/>
            <w:left w:val="none" w:sz="0" w:space="0" w:color="auto"/>
            <w:bottom w:val="none" w:sz="0" w:space="0" w:color="auto"/>
            <w:right w:val="none" w:sz="0" w:space="0" w:color="auto"/>
          </w:divBdr>
        </w:div>
      </w:divsChild>
    </w:div>
    <w:div w:id="828598997">
      <w:bodyDiv w:val="1"/>
      <w:marLeft w:val="0"/>
      <w:marRight w:val="0"/>
      <w:marTop w:val="0"/>
      <w:marBottom w:val="0"/>
      <w:divBdr>
        <w:top w:val="none" w:sz="0" w:space="0" w:color="auto"/>
        <w:left w:val="none" w:sz="0" w:space="0" w:color="auto"/>
        <w:bottom w:val="none" w:sz="0" w:space="0" w:color="auto"/>
        <w:right w:val="none" w:sz="0" w:space="0" w:color="auto"/>
      </w:divBdr>
      <w:divsChild>
        <w:div w:id="900940646">
          <w:marLeft w:val="0"/>
          <w:marRight w:val="0"/>
          <w:marTop w:val="120"/>
          <w:marBottom w:val="120"/>
          <w:divBdr>
            <w:top w:val="none" w:sz="0" w:space="0" w:color="auto"/>
            <w:left w:val="none" w:sz="0" w:space="0" w:color="auto"/>
            <w:bottom w:val="none" w:sz="0" w:space="0" w:color="auto"/>
            <w:right w:val="none" w:sz="0" w:space="0" w:color="auto"/>
          </w:divBdr>
        </w:div>
        <w:div w:id="1132790075">
          <w:marLeft w:val="0"/>
          <w:marRight w:val="0"/>
          <w:marTop w:val="120"/>
          <w:marBottom w:val="120"/>
          <w:divBdr>
            <w:top w:val="none" w:sz="0" w:space="0" w:color="auto"/>
            <w:left w:val="none" w:sz="0" w:space="0" w:color="auto"/>
            <w:bottom w:val="none" w:sz="0" w:space="0" w:color="auto"/>
            <w:right w:val="none" w:sz="0" w:space="0" w:color="auto"/>
          </w:divBdr>
        </w:div>
      </w:divsChild>
    </w:div>
    <w:div w:id="952594598">
      <w:bodyDiv w:val="1"/>
      <w:marLeft w:val="0"/>
      <w:marRight w:val="0"/>
      <w:marTop w:val="0"/>
      <w:marBottom w:val="0"/>
      <w:divBdr>
        <w:top w:val="none" w:sz="0" w:space="0" w:color="auto"/>
        <w:left w:val="none" w:sz="0" w:space="0" w:color="auto"/>
        <w:bottom w:val="none" w:sz="0" w:space="0" w:color="auto"/>
        <w:right w:val="none" w:sz="0" w:space="0" w:color="auto"/>
      </w:divBdr>
      <w:divsChild>
        <w:div w:id="1248223123">
          <w:marLeft w:val="0"/>
          <w:marRight w:val="0"/>
          <w:marTop w:val="120"/>
          <w:marBottom w:val="120"/>
          <w:divBdr>
            <w:top w:val="none" w:sz="0" w:space="0" w:color="auto"/>
            <w:left w:val="none" w:sz="0" w:space="0" w:color="auto"/>
            <w:bottom w:val="none" w:sz="0" w:space="0" w:color="auto"/>
            <w:right w:val="none" w:sz="0" w:space="0" w:color="auto"/>
          </w:divBdr>
        </w:div>
      </w:divsChild>
    </w:div>
    <w:div w:id="982004396">
      <w:bodyDiv w:val="1"/>
      <w:marLeft w:val="0"/>
      <w:marRight w:val="0"/>
      <w:marTop w:val="0"/>
      <w:marBottom w:val="0"/>
      <w:divBdr>
        <w:top w:val="none" w:sz="0" w:space="0" w:color="auto"/>
        <w:left w:val="none" w:sz="0" w:space="0" w:color="auto"/>
        <w:bottom w:val="none" w:sz="0" w:space="0" w:color="auto"/>
        <w:right w:val="none" w:sz="0" w:space="0" w:color="auto"/>
      </w:divBdr>
    </w:div>
    <w:div w:id="1049261401">
      <w:bodyDiv w:val="1"/>
      <w:marLeft w:val="0"/>
      <w:marRight w:val="0"/>
      <w:marTop w:val="0"/>
      <w:marBottom w:val="0"/>
      <w:divBdr>
        <w:top w:val="none" w:sz="0" w:space="0" w:color="auto"/>
        <w:left w:val="none" w:sz="0" w:space="0" w:color="auto"/>
        <w:bottom w:val="none" w:sz="0" w:space="0" w:color="auto"/>
        <w:right w:val="none" w:sz="0" w:space="0" w:color="auto"/>
      </w:divBdr>
    </w:div>
    <w:div w:id="1069422315">
      <w:bodyDiv w:val="1"/>
      <w:marLeft w:val="0"/>
      <w:marRight w:val="0"/>
      <w:marTop w:val="0"/>
      <w:marBottom w:val="0"/>
      <w:divBdr>
        <w:top w:val="none" w:sz="0" w:space="0" w:color="auto"/>
        <w:left w:val="none" w:sz="0" w:space="0" w:color="auto"/>
        <w:bottom w:val="none" w:sz="0" w:space="0" w:color="auto"/>
        <w:right w:val="none" w:sz="0" w:space="0" w:color="auto"/>
      </w:divBdr>
      <w:divsChild>
        <w:div w:id="415832484">
          <w:marLeft w:val="0"/>
          <w:marRight w:val="0"/>
          <w:marTop w:val="120"/>
          <w:marBottom w:val="120"/>
          <w:divBdr>
            <w:top w:val="none" w:sz="0" w:space="0" w:color="auto"/>
            <w:left w:val="none" w:sz="0" w:space="0" w:color="auto"/>
            <w:bottom w:val="none" w:sz="0" w:space="0" w:color="auto"/>
            <w:right w:val="none" w:sz="0" w:space="0" w:color="auto"/>
          </w:divBdr>
        </w:div>
      </w:divsChild>
    </w:div>
    <w:div w:id="1279605498">
      <w:bodyDiv w:val="1"/>
      <w:marLeft w:val="0"/>
      <w:marRight w:val="0"/>
      <w:marTop w:val="0"/>
      <w:marBottom w:val="0"/>
      <w:divBdr>
        <w:top w:val="none" w:sz="0" w:space="0" w:color="auto"/>
        <w:left w:val="none" w:sz="0" w:space="0" w:color="auto"/>
        <w:bottom w:val="none" w:sz="0" w:space="0" w:color="auto"/>
        <w:right w:val="none" w:sz="0" w:space="0" w:color="auto"/>
      </w:divBdr>
      <w:divsChild>
        <w:div w:id="182984848">
          <w:marLeft w:val="0"/>
          <w:marRight w:val="0"/>
          <w:marTop w:val="120"/>
          <w:marBottom w:val="120"/>
          <w:divBdr>
            <w:top w:val="none" w:sz="0" w:space="0" w:color="auto"/>
            <w:left w:val="none" w:sz="0" w:space="0" w:color="auto"/>
            <w:bottom w:val="none" w:sz="0" w:space="0" w:color="auto"/>
            <w:right w:val="none" w:sz="0" w:space="0" w:color="auto"/>
          </w:divBdr>
        </w:div>
      </w:divsChild>
    </w:div>
    <w:div w:id="1282108147">
      <w:bodyDiv w:val="1"/>
      <w:marLeft w:val="0"/>
      <w:marRight w:val="0"/>
      <w:marTop w:val="0"/>
      <w:marBottom w:val="0"/>
      <w:divBdr>
        <w:top w:val="none" w:sz="0" w:space="0" w:color="auto"/>
        <w:left w:val="none" w:sz="0" w:space="0" w:color="auto"/>
        <w:bottom w:val="none" w:sz="0" w:space="0" w:color="auto"/>
        <w:right w:val="none" w:sz="0" w:space="0" w:color="auto"/>
      </w:divBdr>
      <w:divsChild>
        <w:div w:id="869879729">
          <w:marLeft w:val="0"/>
          <w:marRight w:val="0"/>
          <w:marTop w:val="120"/>
          <w:marBottom w:val="120"/>
          <w:divBdr>
            <w:top w:val="none" w:sz="0" w:space="0" w:color="auto"/>
            <w:left w:val="none" w:sz="0" w:space="0" w:color="auto"/>
            <w:bottom w:val="none" w:sz="0" w:space="0" w:color="auto"/>
            <w:right w:val="none" w:sz="0" w:space="0" w:color="auto"/>
          </w:divBdr>
        </w:div>
      </w:divsChild>
    </w:div>
    <w:div w:id="1350331960">
      <w:bodyDiv w:val="1"/>
      <w:marLeft w:val="0"/>
      <w:marRight w:val="0"/>
      <w:marTop w:val="0"/>
      <w:marBottom w:val="0"/>
      <w:divBdr>
        <w:top w:val="none" w:sz="0" w:space="0" w:color="auto"/>
        <w:left w:val="none" w:sz="0" w:space="0" w:color="auto"/>
        <w:bottom w:val="none" w:sz="0" w:space="0" w:color="auto"/>
        <w:right w:val="none" w:sz="0" w:space="0" w:color="auto"/>
      </w:divBdr>
      <w:divsChild>
        <w:div w:id="192428111">
          <w:marLeft w:val="0"/>
          <w:marRight w:val="0"/>
          <w:marTop w:val="0"/>
          <w:marBottom w:val="0"/>
          <w:divBdr>
            <w:top w:val="none" w:sz="0" w:space="0" w:color="auto"/>
            <w:left w:val="none" w:sz="0" w:space="0" w:color="auto"/>
            <w:bottom w:val="none" w:sz="0" w:space="0" w:color="auto"/>
            <w:right w:val="none" w:sz="0" w:space="0" w:color="auto"/>
          </w:divBdr>
          <w:divsChild>
            <w:div w:id="90780509">
              <w:marLeft w:val="0"/>
              <w:marRight w:val="0"/>
              <w:marTop w:val="0"/>
              <w:marBottom w:val="0"/>
              <w:divBdr>
                <w:top w:val="none" w:sz="0" w:space="0" w:color="auto"/>
                <w:left w:val="none" w:sz="0" w:space="0" w:color="auto"/>
                <w:bottom w:val="none" w:sz="0" w:space="0" w:color="auto"/>
                <w:right w:val="none" w:sz="0" w:space="0" w:color="auto"/>
              </w:divBdr>
              <w:divsChild>
                <w:div w:id="1814563684">
                  <w:marLeft w:val="0"/>
                  <w:marRight w:val="0"/>
                  <w:marTop w:val="0"/>
                  <w:marBottom w:val="0"/>
                  <w:divBdr>
                    <w:top w:val="none" w:sz="0" w:space="0" w:color="auto"/>
                    <w:left w:val="none" w:sz="0" w:space="0" w:color="auto"/>
                    <w:bottom w:val="none" w:sz="0" w:space="0" w:color="auto"/>
                    <w:right w:val="none" w:sz="0" w:space="0" w:color="auto"/>
                  </w:divBdr>
                  <w:divsChild>
                    <w:div w:id="331104320">
                      <w:marLeft w:val="0"/>
                      <w:marRight w:val="0"/>
                      <w:marTop w:val="0"/>
                      <w:marBottom w:val="0"/>
                      <w:divBdr>
                        <w:top w:val="none" w:sz="0" w:space="0" w:color="auto"/>
                        <w:left w:val="none" w:sz="0" w:space="0" w:color="auto"/>
                        <w:bottom w:val="none" w:sz="0" w:space="0" w:color="auto"/>
                        <w:right w:val="none" w:sz="0" w:space="0" w:color="auto"/>
                      </w:divBdr>
                      <w:divsChild>
                        <w:div w:id="1421220356">
                          <w:marLeft w:val="0"/>
                          <w:marRight w:val="0"/>
                          <w:marTop w:val="0"/>
                          <w:marBottom w:val="0"/>
                          <w:divBdr>
                            <w:top w:val="none" w:sz="0" w:space="0" w:color="auto"/>
                            <w:left w:val="none" w:sz="0" w:space="0" w:color="auto"/>
                            <w:bottom w:val="none" w:sz="0" w:space="0" w:color="auto"/>
                            <w:right w:val="none" w:sz="0" w:space="0" w:color="auto"/>
                          </w:divBdr>
                          <w:divsChild>
                            <w:div w:id="1931115030">
                              <w:marLeft w:val="0"/>
                              <w:marRight w:val="0"/>
                              <w:marTop w:val="0"/>
                              <w:marBottom w:val="0"/>
                              <w:divBdr>
                                <w:top w:val="none" w:sz="0" w:space="0" w:color="auto"/>
                                <w:left w:val="none" w:sz="0" w:space="0" w:color="auto"/>
                                <w:bottom w:val="none" w:sz="0" w:space="0" w:color="auto"/>
                                <w:right w:val="none" w:sz="0" w:space="0" w:color="auto"/>
                              </w:divBdr>
                              <w:divsChild>
                                <w:div w:id="12118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139891">
      <w:bodyDiv w:val="1"/>
      <w:marLeft w:val="0"/>
      <w:marRight w:val="0"/>
      <w:marTop w:val="0"/>
      <w:marBottom w:val="0"/>
      <w:divBdr>
        <w:top w:val="none" w:sz="0" w:space="0" w:color="auto"/>
        <w:left w:val="none" w:sz="0" w:space="0" w:color="auto"/>
        <w:bottom w:val="none" w:sz="0" w:space="0" w:color="auto"/>
        <w:right w:val="none" w:sz="0" w:space="0" w:color="auto"/>
      </w:divBdr>
      <w:divsChild>
        <w:div w:id="1570724627">
          <w:marLeft w:val="0"/>
          <w:marRight w:val="0"/>
          <w:marTop w:val="120"/>
          <w:marBottom w:val="120"/>
          <w:divBdr>
            <w:top w:val="none" w:sz="0" w:space="0" w:color="auto"/>
            <w:left w:val="none" w:sz="0" w:space="0" w:color="auto"/>
            <w:bottom w:val="none" w:sz="0" w:space="0" w:color="auto"/>
            <w:right w:val="none" w:sz="0" w:space="0" w:color="auto"/>
          </w:divBdr>
        </w:div>
        <w:div w:id="220797265">
          <w:marLeft w:val="0"/>
          <w:marRight w:val="0"/>
          <w:marTop w:val="120"/>
          <w:marBottom w:val="120"/>
          <w:divBdr>
            <w:top w:val="none" w:sz="0" w:space="0" w:color="auto"/>
            <w:left w:val="none" w:sz="0" w:space="0" w:color="auto"/>
            <w:bottom w:val="none" w:sz="0" w:space="0" w:color="auto"/>
            <w:right w:val="none" w:sz="0" w:space="0" w:color="auto"/>
          </w:divBdr>
        </w:div>
      </w:divsChild>
    </w:div>
    <w:div w:id="14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489907187">
          <w:marLeft w:val="0"/>
          <w:marRight w:val="0"/>
          <w:marTop w:val="120"/>
          <w:marBottom w:val="120"/>
          <w:divBdr>
            <w:top w:val="none" w:sz="0" w:space="0" w:color="auto"/>
            <w:left w:val="none" w:sz="0" w:space="0" w:color="auto"/>
            <w:bottom w:val="none" w:sz="0" w:space="0" w:color="auto"/>
            <w:right w:val="none" w:sz="0" w:space="0" w:color="auto"/>
          </w:divBdr>
        </w:div>
      </w:divsChild>
    </w:div>
    <w:div w:id="1560049016">
      <w:bodyDiv w:val="1"/>
      <w:marLeft w:val="0"/>
      <w:marRight w:val="0"/>
      <w:marTop w:val="0"/>
      <w:marBottom w:val="0"/>
      <w:divBdr>
        <w:top w:val="none" w:sz="0" w:space="0" w:color="auto"/>
        <w:left w:val="none" w:sz="0" w:space="0" w:color="auto"/>
        <w:bottom w:val="none" w:sz="0" w:space="0" w:color="auto"/>
        <w:right w:val="none" w:sz="0" w:space="0" w:color="auto"/>
      </w:divBdr>
    </w:div>
    <w:div w:id="1652715855">
      <w:bodyDiv w:val="1"/>
      <w:marLeft w:val="0"/>
      <w:marRight w:val="0"/>
      <w:marTop w:val="0"/>
      <w:marBottom w:val="0"/>
      <w:divBdr>
        <w:top w:val="none" w:sz="0" w:space="0" w:color="auto"/>
        <w:left w:val="none" w:sz="0" w:space="0" w:color="auto"/>
        <w:bottom w:val="none" w:sz="0" w:space="0" w:color="auto"/>
        <w:right w:val="none" w:sz="0" w:space="0" w:color="auto"/>
      </w:divBdr>
      <w:divsChild>
        <w:div w:id="1512135218">
          <w:marLeft w:val="0"/>
          <w:marRight w:val="0"/>
          <w:marTop w:val="120"/>
          <w:marBottom w:val="120"/>
          <w:divBdr>
            <w:top w:val="none" w:sz="0" w:space="0" w:color="auto"/>
            <w:left w:val="none" w:sz="0" w:space="0" w:color="auto"/>
            <w:bottom w:val="none" w:sz="0" w:space="0" w:color="auto"/>
            <w:right w:val="none" w:sz="0" w:space="0" w:color="auto"/>
          </w:divBdr>
        </w:div>
      </w:divsChild>
    </w:div>
    <w:div w:id="1681926868">
      <w:bodyDiv w:val="1"/>
      <w:marLeft w:val="0"/>
      <w:marRight w:val="0"/>
      <w:marTop w:val="0"/>
      <w:marBottom w:val="0"/>
      <w:divBdr>
        <w:top w:val="none" w:sz="0" w:space="0" w:color="auto"/>
        <w:left w:val="none" w:sz="0" w:space="0" w:color="auto"/>
        <w:bottom w:val="none" w:sz="0" w:space="0" w:color="auto"/>
        <w:right w:val="none" w:sz="0" w:space="0" w:color="auto"/>
      </w:divBdr>
      <w:divsChild>
        <w:div w:id="2033264805">
          <w:marLeft w:val="0"/>
          <w:marRight w:val="0"/>
          <w:marTop w:val="120"/>
          <w:marBottom w:val="120"/>
          <w:divBdr>
            <w:top w:val="none" w:sz="0" w:space="0" w:color="auto"/>
            <w:left w:val="none" w:sz="0" w:space="0" w:color="auto"/>
            <w:bottom w:val="none" w:sz="0" w:space="0" w:color="auto"/>
            <w:right w:val="none" w:sz="0" w:space="0" w:color="auto"/>
          </w:divBdr>
        </w:div>
      </w:divsChild>
    </w:div>
    <w:div w:id="1691683612">
      <w:bodyDiv w:val="1"/>
      <w:marLeft w:val="0"/>
      <w:marRight w:val="0"/>
      <w:marTop w:val="0"/>
      <w:marBottom w:val="0"/>
      <w:divBdr>
        <w:top w:val="none" w:sz="0" w:space="0" w:color="auto"/>
        <w:left w:val="none" w:sz="0" w:space="0" w:color="auto"/>
        <w:bottom w:val="none" w:sz="0" w:space="0" w:color="auto"/>
        <w:right w:val="none" w:sz="0" w:space="0" w:color="auto"/>
      </w:divBdr>
      <w:divsChild>
        <w:div w:id="1809010946">
          <w:marLeft w:val="0"/>
          <w:marRight w:val="0"/>
          <w:marTop w:val="120"/>
          <w:marBottom w:val="120"/>
          <w:divBdr>
            <w:top w:val="none" w:sz="0" w:space="0" w:color="auto"/>
            <w:left w:val="none" w:sz="0" w:space="0" w:color="auto"/>
            <w:bottom w:val="none" w:sz="0" w:space="0" w:color="auto"/>
            <w:right w:val="none" w:sz="0" w:space="0" w:color="auto"/>
          </w:divBdr>
        </w:div>
      </w:divsChild>
    </w:div>
    <w:div w:id="1723366245">
      <w:bodyDiv w:val="1"/>
      <w:marLeft w:val="0"/>
      <w:marRight w:val="0"/>
      <w:marTop w:val="0"/>
      <w:marBottom w:val="0"/>
      <w:divBdr>
        <w:top w:val="none" w:sz="0" w:space="0" w:color="auto"/>
        <w:left w:val="none" w:sz="0" w:space="0" w:color="auto"/>
        <w:bottom w:val="none" w:sz="0" w:space="0" w:color="auto"/>
        <w:right w:val="none" w:sz="0" w:space="0" w:color="auto"/>
      </w:divBdr>
      <w:divsChild>
        <w:div w:id="1995185530">
          <w:marLeft w:val="0"/>
          <w:marRight w:val="0"/>
          <w:marTop w:val="120"/>
          <w:marBottom w:val="120"/>
          <w:divBdr>
            <w:top w:val="none" w:sz="0" w:space="0" w:color="auto"/>
            <w:left w:val="none" w:sz="0" w:space="0" w:color="auto"/>
            <w:bottom w:val="none" w:sz="0" w:space="0" w:color="auto"/>
            <w:right w:val="none" w:sz="0" w:space="0" w:color="auto"/>
          </w:divBdr>
        </w:div>
      </w:divsChild>
    </w:div>
    <w:div w:id="1802766539">
      <w:bodyDiv w:val="1"/>
      <w:marLeft w:val="0"/>
      <w:marRight w:val="0"/>
      <w:marTop w:val="0"/>
      <w:marBottom w:val="0"/>
      <w:divBdr>
        <w:top w:val="none" w:sz="0" w:space="0" w:color="auto"/>
        <w:left w:val="none" w:sz="0" w:space="0" w:color="auto"/>
        <w:bottom w:val="none" w:sz="0" w:space="0" w:color="auto"/>
        <w:right w:val="none" w:sz="0" w:space="0" w:color="auto"/>
      </w:divBdr>
      <w:divsChild>
        <w:div w:id="1489861894">
          <w:marLeft w:val="0"/>
          <w:marRight w:val="0"/>
          <w:marTop w:val="120"/>
          <w:marBottom w:val="120"/>
          <w:divBdr>
            <w:top w:val="none" w:sz="0" w:space="0" w:color="auto"/>
            <w:left w:val="none" w:sz="0" w:space="0" w:color="auto"/>
            <w:bottom w:val="none" w:sz="0" w:space="0" w:color="auto"/>
            <w:right w:val="none" w:sz="0" w:space="0" w:color="auto"/>
          </w:divBdr>
        </w:div>
        <w:div w:id="208222328">
          <w:marLeft w:val="0"/>
          <w:marRight w:val="0"/>
          <w:marTop w:val="120"/>
          <w:marBottom w:val="120"/>
          <w:divBdr>
            <w:top w:val="none" w:sz="0" w:space="0" w:color="auto"/>
            <w:left w:val="none" w:sz="0" w:space="0" w:color="auto"/>
            <w:bottom w:val="none" w:sz="0" w:space="0" w:color="auto"/>
            <w:right w:val="none" w:sz="0" w:space="0" w:color="auto"/>
          </w:divBdr>
        </w:div>
      </w:divsChild>
    </w:div>
    <w:div w:id="2123761961">
      <w:bodyDiv w:val="1"/>
      <w:marLeft w:val="0"/>
      <w:marRight w:val="0"/>
      <w:marTop w:val="0"/>
      <w:marBottom w:val="0"/>
      <w:divBdr>
        <w:top w:val="none" w:sz="0" w:space="0" w:color="auto"/>
        <w:left w:val="none" w:sz="0" w:space="0" w:color="auto"/>
        <w:bottom w:val="none" w:sz="0" w:space="0" w:color="auto"/>
        <w:right w:val="none" w:sz="0" w:space="0" w:color="auto"/>
      </w:divBdr>
      <w:divsChild>
        <w:div w:id="189534618">
          <w:marLeft w:val="0"/>
          <w:marRight w:val="0"/>
          <w:marTop w:val="120"/>
          <w:marBottom w:val="120"/>
          <w:divBdr>
            <w:top w:val="none" w:sz="0" w:space="0" w:color="auto"/>
            <w:left w:val="none" w:sz="0" w:space="0" w:color="auto"/>
            <w:bottom w:val="none" w:sz="0" w:space="0" w:color="auto"/>
            <w:right w:val="none" w:sz="0" w:space="0" w:color="auto"/>
          </w:divBdr>
        </w:div>
        <w:div w:id="143578636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8</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2026-05-02T10:46:00Z</dcterms:created>
  <dcterms:modified xsi:type="dcterms:W3CDTF">2026-05-02T16:39:00Z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id="T9cTX2FY"/&gt;&lt;style id="http://www.zotero.org/styles/apa" locale="en-US" hasBibliography="1" bibliographyStyleHasBeenSet="1"/&gt;&lt;prefs&gt;&lt;pref name="fieldType" value="Field"/&gt;&lt;/prefs&gt;&lt;/data&gt;</vt:lpwstr>
  </property>
</Properties>
</file>