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29097" w14:textId="77777777" w:rsidR="005A346B" w:rsidRDefault="005A346B" w:rsidP="005A346B"/>
    <w:p w14:paraId="01252531" w14:textId="77777777" w:rsidR="005A346B" w:rsidRDefault="005A346B" w:rsidP="005A346B"/>
    <w:p w14:paraId="5A4B4CA5" w14:textId="77777777" w:rsidR="005A346B" w:rsidRDefault="005A346B" w:rsidP="005A346B"/>
    <w:p w14:paraId="3BD3CDBE" w14:textId="77777777" w:rsidR="005A346B" w:rsidRDefault="005A346B" w:rsidP="005A346B"/>
    <w:p w14:paraId="67941CD9" w14:textId="77777777" w:rsidR="005A346B" w:rsidRDefault="005A346B" w:rsidP="005A346B"/>
    <w:p w14:paraId="4C00BB4E" w14:textId="77777777" w:rsidR="005A346B" w:rsidRPr="00D6664A" w:rsidRDefault="005A346B" w:rsidP="005A346B"/>
    <w:p w14:paraId="3521C0F4" w14:textId="77777777" w:rsidR="005A346B" w:rsidRPr="00D6664A" w:rsidRDefault="005A346B" w:rsidP="005A346B">
      <w:pPr>
        <w:jc w:val="center"/>
      </w:pPr>
    </w:p>
    <w:p w14:paraId="6AF43125" w14:textId="77777777" w:rsidR="005A346B" w:rsidRPr="00D6664A" w:rsidRDefault="005A346B" w:rsidP="005A346B">
      <w:pPr>
        <w:jc w:val="center"/>
      </w:pPr>
    </w:p>
    <w:p w14:paraId="350E56D9" w14:textId="77777777" w:rsidR="005A346B" w:rsidRPr="00D6664A" w:rsidRDefault="005A346B" w:rsidP="005A346B">
      <w:pPr>
        <w:jc w:val="center"/>
      </w:pPr>
    </w:p>
    <w:p w14:paraId="022686CC" w14:textId="77777777" w:rsidR="005A346B" w:rsidRPr="00D6664A" w:rsidRDefault="005A346B" w:rsidP="005A346B">
      <w:pPr>
        <w:jc w:val="center"/>
      </w:pPr>
    </w:p>
    <w:p w14:paraId="1B0DE9EC" w14:textId="53FA01AE" w:rsidR="005A346B" w:rsidRDefault="005A346B" w:rsidP="005A346B">
      <w:pPr>
        <w:jc w:val="center"/>
      </w:pPr>
      <w:r w:rsidRPr="005A346B">
        <w:t>Material Culture and Cultural Exchange</w:t>
      </w:r>
    </w:p>
    <w:p w14:paraId="7FD3C3D9" w14:textId="77777777" w:rsidR="005A346B" w:rsidRPr="00D6664A" w:rsidRDefault="005A346B" w:rsidP="005A346B">
      <w:pPr>
        <w:jc w:val="center"/>
      </w:pPr>
    </w:p>
    <w:p w14:paraId="7A0D46C0" w14:textId="77777777" w:rsidR="005A346B" w:rsidRPr="00D6664A" w:rsidRDefault="005A346B" w:rsidP="005A346B">
      <w:pPr>
        <w:jc w:val="center"/>
      </w:pPr>
    </w:p>
    <w:p w14:paraId="6A603BBE" w14:textId="77777777" w:rsidR="005A346B" w:rsidRDefault="005A346B" w:rsidP="005A346B">
      <w:pPr>
        <w:jc w:val="center"/>
      </w:pPr>
    </w:p>
    <w:p w14:paraId="08E0DBF1" w14:textId="77777777" w:rsidR="005A346B" w:rsidRPr="00D6664A" w:rsidRDefault="005A346B" w:rsidP="005A346B">
      <w:pPr>
        <w:jc w:val="center"/>
      </w:pPr>
    </w:p>
    <w:p w14:paraId="35625FF4" w14:textId="77777777" w:rsidR="005A346B" w:rsidRPr="00D6664A" w:rsidRDefault="005A346B" w:rsidP="005A346B">
      <w:pPr>
        <w:jc w:val="center"/>
      </w:pPr>
    </w:p>
    <w:p w14:paraId="1A07DE59" w14:textId="77777777" w:rsidR="005A346B" w:rsidRDefault="005A346B" w:rsidP="005A346B">
      <w:pPr>
        <w:jc w:val="center"/>
      </w:pPr>
      <w:r>
        <w:t>Name of the author</w:t>
      </w:r>
    </w:p>
    <w:p w14:paraId="3AE9B37B" w14:textId="77777777" w:rsidR="005A346B" w:rsidRPr="00D6664A" w:rsidRDefault="005A346B" w:rsidP="005A346B">
      <w:pPr>
        <w:jc w:val="center"/>
      </w:pPr>
    </w:p>
    <w:p w14:paraId="32974389" w14:textId="77777777" w:rsidR="005A346B" w:rsidRPr="00D6664A" w:rsidRDefault="005A346B" w:rsidP="005A346B">
      <w:pPr>
        <w:jc w:val="center"/>
      </w:pPr>
    </w:p>
    <w:p w14:paraId="7006AE0B" w14:textId="77777777" w:rsidR="005A346B" w:rsidRPr="00D6664A" w:rsidRDefault="005A346B" w:rsidP="005A346B">
      <w:pPr>
        <w:jc w:val="center"/>
      </w:pPr>
    </w:p>
    <w:p w14:paraId="4B4FBC94" w14:textId="77777777" w:rsidR="005A346B" w:rsidRPr="00D6664A" w:rsidRDefault="005A346B" w:rsidP="005A346B">
      <w:pPr>
        <w:jc w:val="center"/>
      </w:pPr>
    </w:p>
    <w:p w14:paraId="4D0258D9" w14:textId="77777777" w:rsidR="005A346B" w:rsidRPr="00D6664A" w:rsidRDefault="005A346B" w:rsidP="005A346B">
      <w:pPr>
        <w:jc w:val="center"/>
      </w:pPr>
    </w:p>
    <w:p w14:paraId="6E1769ED" w14:textId="77777777" w:rsidR="005A346B" w:rsidRPr="00D6664A" w:rsidRDefault="005A346B" w:rsidP="005A346B">
      <w:pPr>
        <w:jc w:val="center"/>
      </w:pPr>
    </w:p>
    <w:p w14:paraId="134794EC" w14:textId="04BB3CE8" w:rsidR="005A346B" w:rsidRPr="00D6664A" w:rsidRDefault="005A346B" w:rsidP="005A346B">
      <w:pPr>
        <w:jc w:val="center"/>
      </w:pPr>
      <w:r>
        <w:t>29</w:t>
      </w:r>
      <w:r>
        <w:t xml:space="preserve"> </w:t>
      </w:r>
      <w:r>
        <w:t>April</w:t>
      </w:r>
      <w:r>
        <w:t xml:space="preserve"> 20</w:t>
      </w:r>
      <w:r>
        <w:t>26</w:t>
      </w:r>
    </w:p>
    <w:p w14:paraId="3C28E3E6" w14:textId="77777777" w:rsidR="005A346B" w:rsidRPr="00D6664A" w:rsidRDefault="005A346B" w:rsidP="005A346B">
      <w:pPr>
        <w:jc w:val="center"/>
      </w:pPr>
    </w:p>
    <w:p w14:paraId="4C6AE225" w14:textId="531E70C8" w:rsidR="005A346B" w:rsidRDefault="005A346B">
      <w:pPr>
        <w:rPr>
          <w:b/>
          <w:bCs/>
        </w:rPr>
      </w:pPr>
      <w:r>
        <w:rPr>
          <w:b/>
          <w:bCs/>
        </w:rPr>
        <w:br w:type="page"/>
      </w:r>
    </w:p>
    <w:p w14:paraId="62C712B8" w14:textId="56D2F051" w:rsidR="00B833CD" w:rsidRPr="005A346B" w:rsidRDefault="005A346B" w:rsidP="005A346B">
      <w:pPr>
        <w:spacing w:line="480" w:lineRule="auto"/>
        <w:ind w:firstLine="720"/>
      </w:pPr>
      <w:r>
        <w:lastRenderedPageBreak/>
        <w:t>T</w:t>
      </w:r>
      <w:r w:rsidR="00B956FD" w:rsidRPr="005A346B">
        <w:t>he Seated Statue of Hatshepsut (Metropolitan Museum of Art, accession no. 29.3.2)</w:t>
      </w:r>
      <w:r>
        <w:t>, s</w:t>
      </w:r>
      <w:r w:rsidRPr="005A346B">
        <w:t xml:space="preserve">tanding 83 7/8 inches tall, </w:t>
      </w:r>
      <w:r w:rsidR="00B956FD" w:rsidRPr="005A346B">
        <w:t xml:space="preserve">is sculpted in indurated limestone and originally painted. It was discovered by the Metropolitan Museum's Egyptian Expedition at Deir </w:t>
      </w:r>
      <w:proofErr w:type="spellStart"/>
      <w:r w:rsidR="00B956FD" w:rsidRPr="005A346B">
        <w:t>el</w:t>
      </w:r>
      <w:proofErr w:type="spellEnd"/>
      <w:r w:rsidR="00B956FD" w:rsidRPr="005A346B">
        <w:t xml:space="preserve">-Bahri, West Thebes, and is from the period of co-rule between Hatshepsut and Thutmose III, New Kingdom, Eighteenth Dynasty, ca. 1479–1458 BCE. Hatshepsut proclaimed herself pharaoh sometime in between the second and seventh years of her co-regency, donning the full </w:t>
      </w:r>
      <w:proofErr w:type="spellStart"/>
      <w:r w:rsidR="00B956FD" w:rsidRPr="005A346B">
        <w:t>titulature</w:t>
      </w:r>
      <w:proofErr w:type="spellEnd"/>
      <w:r w:rsidR="00B956FD" w:rsidRPr="005A346B">
        <w:t xml:space="preserve"> of a male king, including the throne name Maatkare</w:t>
      </w:r>
      <w:r w:rsidR="00B956FD" w:rsidRPr="005A346B">
        <w:t xml:space="preserve">. </w:t>
      </w:r>
      <w:r w:rsidR="00000000" w:rsidRPr="005A346B">
        <w:rPr>
          <w:rStyle w:val="FootnoteReference"/>
        </w:rPr>
        <w:footnoteReference w:id="1"/>
      </w:r>
      <w:r w:rsidR="00000000" w:rsidRPr="005A346B">
        <w:t xml:space="preserve"> </w:t>
      </w:r>
      <w:r w:rsidR="00B956FD" w:rsidRPr="005A346B">
        <w:t xml:space="preserve">The statue is part of a rich sculptural project from </w:t>
      </w:r>
      <w:proofErr w:type="spellStart"/>
      <w:r w:rsidR="00B956FD" w:rsidRPr="005A346B">
        <w:t>Djeser-Djeseru</w:t>
      </w:r>
      <w:proofErr w:type="spellEnd"/>
      <w:r w:rsidR="00B956FD" w:rsidRPr="005A346B">
        <w:t xml:space="preserve">, Hatshepsut's funerary temple at Deir </w:t>
      </w:r>
      <w:proofErr w:type="spellStart"/>
      <w:r w:rsidR="00B956FD" w:rsidRPr="005A346B">
        <w:t>el</w:t>
      </w:r>
      <w:proofErr w:type="spellEnd"/>
      <w:r w:rsidR="00B956FD" w:rsidRPr="005A346B">
        <w:t>-Bahri. Its shape, materials, iconography, and placement were constrained by a long history of pharaonic convention that was shaped by long-range trade and interaction with Nubia, Punt, and the Near East. Examining this object is examining the workings of material culture as both a product of and a mediator for cultural exchange, demonstrating the collaborative processes at play throughout the development of any society and its constituent elements.</w:t>
      </w:r>
    </w:p>
    <w:p w14:paraId="0A261794" w14:textId="77777777" w:rsidR="00B833CD" w:rsidRPr="005A346B" w:rsidRDefault="00000000" w:rsidP="005A346B">
      <w:pPr>
        <w:spacing w:line="480" w:lineRule="auto"/>
        <w:jc w:val="center"/>
      </w:pPr>
      <w:r w:rsidRPr="005A346B">
        <w:rPr>
          <w:b/>
          <w:bCs/>
        </w:rPr>
        <w:t>Design and Iconographic Convention</w:t>
      </w:r>
    </w:p>
    <w:p w14:paraId="67130546" w14:textId="68106964" w:rsidR="00B833CD" w:rsidRPr="005A346B" w:rsidRDefault="00B956FD" w:rsidP="005A346B">
      <w:pPr>
        <w:spacing w:line="480" w:lineRule="auto"/>
        <w:ind w:firstLine="720"/>
      </w:pPr>
      <w:r w:rsidRPr="005A346B">
        <w:t xml:space="preserve">On the statue, Hatshepsut is wearing a </w:t>
      </w:r>
      <w:proofErr w:type="spellStart"/>
      <w:r w:rsidRPr="005A346B">
        <w:t>nemes</w:t>
      </w:r>
      <w:proofErr w:type="spellEnd"/>
      <w:r w:rsidRPr="005A346B">
        <w:t xml:space="preserve">-headcloth and a </w:t>
      </w:r>
      <w:proofErr w:type="spellStart"/>
      <w:r w:rsidRPr="005A346B">
        <w:t>shendyt</w:t>
      </w:r>
      <w:proofErr w:type="spellEnd"/>
      <w:r w:rsidRPr="005A346B">
        <w:t>-kilt; the symbols of royalty traditionally reserved for the male pharaoh</w:t>
      </w:r>
      <w:r w:rsidR="00000000" w:rsidRPr="005A346B">
        <w:t>.</w:t>
      </w:r>
      <w:r w:rsidR="00832C83" w:rsidRPr="005A346B">
        <w:t xml:space="preserve"> </w:t>
      </w:r>
      <w:r w:rsidRPr="005A346B">
        <w:t xml:space="preserve">The </w:t>
      </w:r>
      <w:proofErr w:type="spellStart"/>
      <w:r w:rsidRPr="005A346B">
        <w:t>nemes</w:t>
      </w:r>
      <w:proofErr w:type="spellEnd"/>
      <w:r w:rsidRPr="005A346B">
        <w:t xml:space="preserve">, a linen headdress with diagonal stripes pulled forward over the head, with two flaps hanging down over the shoulders, was a key emblem of kingship since the Old Kingdom. The </w:t>
      </w:r>
      <w:proofErr w:type="spellStart"/>
      <w:r w:rsidRPr="005A346B">
        <w:t>shendyt</w:t>
      </w:r>
      <w:proofErr w:type="spellEnd"/>
      <w:r w:rsidRPr="005A346B">
        <w:t xml:space="preserve">-kilt is a finishing touch to the depiction of Hatshepsut as the ideal masculine king. In spite of masculine trappings, the carver rendered the facial contours with softer cheeks and mouth than the kneeling and standing colossi for the temple's processional scene in the south, such as MMA 30.3.1 and 28.3.18, </w:t>
      </w:r>
      <w:r w:rsidRPr="005A346B">
        <w:lastRenderedPageBreak/>
        <w:t>respectively. This nuanced pairing of masculine office symbols and feminine facial features was no coincidence. Šehović has traced how the shape of Hatshepsut's iconography shifted throughout her rule from a feminine royal icon to full masculinization</w:t>
      </w:r>
      <w:r w:rsidR="00000000" w:rsidRPr="005A346B">
        <w:t>.</w:t>
      </w:r>
      <w:r w:rsidR="00000000" w:rsidRPr="005A346B">
        <w:rPr>
          <w:rStyle w:val="FootnoteReference"/>
        </w:rPr>
        <w:footnoteReference w:id="2"/>
      </w:r>
      <w:r w:rsidR="00000000" w:rsidRPr="005A346B">
        <w:t xml:space="preserve"> </w:t>
      </w:r>
      <w:r w:rsidRPr="005A346B">
        <w:t xml:space="preserve">The theological justification for this evolution was the need for the pharaoh to represent Horus and Osiris, both male deities, in life and death, respectively; that is, the office required a masculine mode of representation. Importantly, however, Hatshepsut did not lose herself in this </w:t>
      </w:r>
      <w:r w:rsidRPr="005A346B">
        <w:t>scheme</w:t>
      </w:r>
      <w:r w:rsidRPr="005A346B">
        <w:t>: her proper name ("foremost of noble women") is written in feminized cartouches on the statue's base, and feminine grammatical forms are used. The seated statue, therefore, occupies the middle ground in this iconographic line-up, both meeting supernatural requirements of her role as pharaoh and signifying Hatshepsut's own sexed identity. This iconographic language had been honed for more than 1500 years of cultural interaction, as art concepts moved around the Nile Valley with the movement of court artists, ritual objects, and wartime booty. The statue's iconography is thus bound up with the history of cultural exchange that led to the establishment of its conventions.</w:t>
      </w:r>
    </w:p>
    <w:p w14:paraId="5FBE4E08" w14:textId="77777777" w:rsidR="00B833CD" w:rsidRPr="005A346B" w:rsidRDefault="00000000" w:rsidP="005A346B">
      <w:pPr>
        <w:spacing w:line="480" w:lineRule="auto"/>
        <w:jc w:val="center"/>
      </w:pPr>
      <w:r w:rsidRPr="005A346B">
        <w:rPr>
          <w:b/>
          <w:bCs/>
        </w:rPr>
        <w:t>Materials, Trade Networks, and Economic Exchange</w:t>
      </w:r>
    </w:p>
    <w:p w14:paraId="64F894F1" w14:textId="78FB9F05" w:rsidR="00B833CD" w:rsidRPr="005A346B" w:rsidRDefault="00B956FD" w:rsidP="005A346B">
      <w:pPr>
        <w:spacing w:line="480" w:lineRule="auto"/>
        <w:ind w:firstLine="720"/>
      </w:pPr>
      <w:r w:rsidRPr="005A346B">
        <w:t xml:space="preserve">The use of indurated limestone was an aesthetic choice. This fine-grained, rubbly stone takes fine carving and takes paint very well; the original polychrome scheme on the object would have been much more vibrant than what survives today. Fine-stone quarrying and exchange were integral to the political economy of long-distance extractions and exchanges in Egypt. Hatshepsut's reign is most apparent in the expedition to Punt in about year nine of her co-regency, shown on the reliefs along the Punt Colonnade at Deir </w:t>
      </w:r>
      <w:proofErr w:type="spellStart"/>
      <w:r w:rsidRPr="005A346B">
        <w:t>el</w:t>
      </w:r>
      <w:proofErr w:type="spellEnd"/>
      <w:r w:rsidRPr="005A346B">
        <w:t xml:space="preserve">-Bahri. Its cargo included myrrh, ebony, ivory, and gold, resources that provided the royal construction program and the Amun cult. The importance of this transaction to the statue is, however, structural: Hatshepsut's </w:t>
      </w:r>
      <w:r w:rsidRPr="005A346B">
        <w:lastRenderedPageBreak/>
        <w:t>statue inherited and developed a tradition of sculptural ambition underpinned by Egypt's dominance of regional supply networks. The latest work on New Kingdom Nubia by Lemos and Budka has demonstrated that Egyptian administrative sites like Sai Island served as nodes in an economic network providing goods to metropolitan building projects</w:t>
      </w:r>
      <w:r w:rsidR="00000000" w:rsidRPr="005A346B">
        <w:t>.</w:t>
      </w:r>
      <w:r w:rsidR="00000000" w:rsidRPr="005A346B">
        <w:rPr>
          <w:rStyle w:val="FootnoteReference"/>
        </w:rPr>
        <w:footnoteReference w:id="3"/>
      </w:r>
      <w:r w:rsidR="00000000" w:rsidRPr="005A346B">
        <w:t xml:space="preserve"> </w:t>
      </w:r>
      <w:r w:rsidRPr="005A346B">
        <w:t>Rademakers et al. have also shown, using elemental analyses of objects from Amara West, that materials like metals and pigments were distributed across the colonial network as evidence of cross-craft provisioning, rather than local procurement.  The indurated limestone of Hatshepsut's statue is the terminus of just such an economic and political network, and the material itself is a point of exchange.</w:t>
      </w:r>
    </w:p>
    <w:p w14:paraId="2F76D325" w14:textId="77777777" w:rsidR="00B833CD" w:rsidRPr="005A346B" w:rsidRDefault="00000000" w:rsidP="005A346B">
      <w:pPr>
        <w:spacing w:line="480" w:lineRule="auto"/>
        <w:jc w:val="center"/>
      </w:pPr>
      <w:r w:rsidRPr="005A346B">
        <w:rPr>
          <w:b/>
          <w:bCs/>
        </w:rPr>
        <w:t>Ritual Context and Architectural Precedent</w:t>
      </w:r>
    </w:p>
    <w:p w14:paraId="1333A1BC" w14:textId="6CB50E89" w:rsidR="00B833CD" w:rsidRPr="005A346B" w:rsidRDefault="00000000" w:rsidP="005A346B">
      <w:pPr>
        <w:spacing w:line="480" w:lineRule="auto"/>
        <w:ind w:firstLine="720"/>
      </w:pPr>
      <w:r w:rsidRPr="005A346B">
        <w:t xml:space="preserve">The statue's role within its immediate surroundings depended on the spatial logic of </w:t>
      </w:r>
      <w:proofErr w:type="spellStart"/>
      <w:r w:rsidRPr="005A346B">
        <w:t>Djeser</w:t>
      </w:r>
      <w:proofErr w:type="spellEnd"/>
      <w:r w:rsidRPr="005A346B">
        <w:t>-</w:t>
      </w:r>
      <w:r w:rsidR="00580960" w:rsidRPr="005A346B">
        <w:t xml:space="preserve"> </w:t>
      </w:r>
      <w:r w:rsidR="00580960" w:rsidRPr="005A346B">
        <w:t xml:space="preserve">The statue's position in its immediate context was determined by the design of </w:t>
      </w:r>
      <w:proofErr w:type="spellStart"/>
      <w:r w:rsidR="00580960" w:rsidRPr="005A346B">
        <w:t>Djeser-Djeseru</w:t>
      </w:r>
      <w:proofErr w:type="spellEnd"/>
      <w:r w:rsidR="00580960" w:rsidRPr="005A346B">
        <w:t xml:space="preserve">, the "Holiest of Holy Places," by the royal steward </w:t>
      </w:r>
      <w:proofErr w:type="spellStart"/>
      <w:r w:rsidR="00580960" w:rsidRPr="005A346B">
        <w:t>Senenmut</w:t>
      </w:r>
      <w:proofErr w:type="spellEnd"/>
      <w:r w:rsidR="00580960" w:rsidRPr="005A346B">
        <w:t xml:space="preserve"> in terraced colonnades on the southern cliffs of Thebes. The plan of the temple was similarly informed by cultural connections: it deliberately alluded to the nearby mortuary temple of the Middle Kingdom king Mentuhotep II (ca. 2055-2004 BCE), whose mortuary edifice was immediately to the south of this site. This recourse to an earlier model is an example of cultural interaction across time, and shows that even the architectural context of Hatshepsut's sculptural program was not created entirely out of thin air. In this context, the seated statue occupied a non-public interior space (perhaps one of the chapels on the upper terrace) in contrast with the public colossal statues bordering the procession route</w:t>
      </w:r>
      <w:r w:rsidRPr="005A346B">
        <w:t>.</w:t>
      </w:r>
      <w:r w:rsidRPr="005A346B">
        <w:rPr>
          <w:rStyle w:val="FootnoteReference"/>
        </w:rPr>
        <w:footnoteReference w:id="4"/>
      </w:r>
      <w:r w:rsidRPr="005A346B">
        <w:t xml:space="preserve"> </w:t>
      </w:r>
      <w:r w:rsidR="00580960" w:rsidRPr="005A346B">
        <w:t xml:space="preserve">This was a spatial skill that was programmatic: the colossal </w:t>
      </w:r>
      <w:r w:rsidR="00580960" w:rsidRPr="005A346B">
        <w:lastRenderedPageBreak/>
        <w:t>exterior statues, profoundly masculine, invited the wide audience that filled the festival grounds, whereas the interior seated statue, its face feminine, appealed to the select audience of priests in an interior space. The innermost shrine of Amun was carved into the cliff itself, embedding the whole temple in the Theban landscape, as a promise of timelessness. The Amun cult that Hatshepsut steadily advanced was a product of the political landscaping of the Second Intermediate period: the cult of Amun became dominant as Theban rulers defeated the Hyksos (ca. 1550 BCE), and Amun's theology went on to incorporate older solar traditions to create Amun-Ra. Hatshepsut's ritual program exploited the theological synthesis, prompted by northern pressure, that was the religious legacy handed down to her, making the ritual setting of the statue an integral part of the broader history of cultural exchange that influenced Egyptian religion.</w:t>
      </w:r>
    </w:p>
    <w:p w14:paraId="3ED054FB" w14:textId="77777777" w:rsidR="00B833CD" w:rsidRPr="005A346B" w:rsidRDefault="00000000" w:rsidP="005A346B">
      <w:pPr>
        <w:spacing w:line="480" w:lineRule="auto"/>
        <w:jc w:val="center"/>
      </w:pPr>
      <w:r w:rsidRPr="005A346B">
        <w:rPr>
          <w:b/>
          <w:bCs/>
        </w:rPr>
        <w:t>Fragmentation, Exchange, and the Afterlife of the Object</w:t>
      </w:r>
    </w:p>
    <w:p w14:paraId="5958F70D" w14:textId="7FDEB002" w:rsidR="00B833CD" w:rsidRPr="005A346B" w:rsidRDefault="00580960" w:rsidP="005A346B">
      <w:pPr>
        <w:spacing w:line="480" w:lineRule="auto"/>
        <w:ind w:firstLine="720"/>
      </w:pPr>
      <w:r w:rsidRPr="005A346B">
        <w:t>The post-depositional history of the seated statue brings a new aspect to the study of cultural exchanges: the disengagement, interment, and eventual reintegration of the object in several institutions spanning two continents. This statue was discovered in fragments. The lower portions were in the collections of the Berlin Egyptian Museum since 1845, when the Egyptologist Richard Lepsius, on his expedition touring the country, took them away from the site. The upper half was found by the Metropolitan Museum's Expedition to Egypt during their work there in the late 1920s. In 1929, the parts were exchanged between the Metropolitan Museum and the Berlin Museum, and the statue was reassembled and restored there</w:t>
      </w:r>
      <w:r w:rsidR="00000000" w:rsidRPr="005A346B">
        <w:t>.</w:t>
      </w:r>
      <w:r w:rsidR="00000000" w:rsidRPr="005A346B">
        <w:rPr>
          <w:rStyle w:val="FootnoteReference"/>
        </w:rPr>
        <w:footnoteReference w:id="5"/>
      </w:r>
      <w:r w:rsidR="00000000" w:rsidRPr="005A346B">
        <w:t xml:space="preserve"> </w:t>
      </w:r>
      <w:r w:rsidRPr="005A346B">
        <w:t xml:space="preserve">The statue's diversification (fragmentation) and consolidation (restoration) in Berlin and New York is </w:t>
      </w:r>
      <w:r w:rsidRPr="005A346B">
        <w:lastRenderedPageBreak/>
        <w:t>a modern instance of object exchange that repeats, in some sense, the historical patterns of circulation of artifacts that the course of study has highlighted.</w:t>
      </w:r>
    </w:p>
    <w:p w14:paraId="450A8DB5" w14:textId="77C8C832" w:rsidR="00B833CD" w:rsidRPr="005A346B" w:rsidRDefault="00580960" w:rsidP="005A346B">
      <w:pPr>
        <w:spacing w:line="480" w:lineRule="auto"/>
        <w:ind w:firstLine="720"/>
      </w:pPr>
      <w:r w:rsidRPr="005A346B">
        <w:t>Recent research has also considerably amended the explanation for the ancient breakage of the statue.</w:t>
      </w:r>
      <w:r w:rsidR="00E67324" w:rsidRPr="005A346B">
        <w:rPr>
          <w:rStyle w:val="FootnoteReference"/>
        </w:rPr>
        <w:footnoteReference w:id="6"/>
      </w:r>
      <w:r w:rsidRPr="005A346B">
        <w:t xml:space="preserve"> The conventional explanation was that the systematic demolition of Hatshepsut's monuments by Thutmose III was an act of </w:t>
      </w:r>
      <w:proofErr w:type="spellStart"/>
      <w:r w:rsidRPr="005A346B">
        <w:t>damnatio</w:t>
      </w:r>
      <w:proofErr w:type="spellEnd"/>
      <w:r w:rsidRPr="005A346B">
        <w:t xml:space="preserve"> </w:t>
      </w:r>
      <w:proofErr w:type="spellStart"/>
      <w:r w:rsidRPr="005A346B">
        <w:t>memoriae</w:t>
      </w:r>
      <w:proofErr w:type="spellEnd"/>
      <w:r w:rsidRPr="005A346B">
        <w:t xml:space="preserve"> after Hatshepsut's lifetime, punctuated by highly visible destruction to her images in Karnak and Deir </w:t>
      </w:r>
      <w:proofErr w:type="spellStart"/>
      <w:r w:rsidRPr="005A346B">
        <w:t>el</w:t>
      </w:r>
      <w:proofErr w:type="spellEnd"/>
      <w:r w:rsidRPr="005A346B">
        <w:t xml:space="preserve">-Bahri.  Wong's 2025 study of previously unreported documents from the Metropolitan Museum of Art's (MMA) 1920s excavation of Deir </w:t>
      </w:r>
      <w:proofErr w:type="spellStart"/>
      <w:r w:rsidRPr="005A346B">
        <w:t>el</w:t>
      </w:r>
      <w:proofErr w:type="spellEnd"/>
      <w:r w:rsidRPr="005A346B">
        <w:t xml:space="preserve">-Bahri nuances this interpretation. Through an analysis of the recovery rate of body parts in the assemblage of statues, </w:t>
      </w:r>
      <w:r w:rsidR="00E67324" w:rsidRPr="005A346B">
        <w:t>author</w:t>
      </w:r>
      <w:r w:rsidRPr="005A346B">
        <w:t xml:space="preserve"> shows that damage to images is not consistent with iconoclastic vandalism. The faces of many of the statues are relatively undamaged, and the deliberate removal of image parts is focused on certain areas of the body that suggest a pattern of ritual deactivation (a sort of "retirement" of cult image no longer required in the original role), in conjunction with secondary use of the stone as a source of building material, as opposed to purely political iconoclasm.</w:t>
      </w:r>
      <w:r w:rsidR="00E67324" w:rsidRPr="005A346B">
        <w:rPr>
          <w:rStyle w:val="FootnoteReference"/>
        </w:rPr>
        <w:footnoteReference w:id="7"/>
      </w:r>
      <w:r w:rsidRPr="005A346B">
        <w:t xml:space="preserve">  This has obvious ramifications for the seated statue, which was broken and buried in the so-called "Hatshepsut Hole" to the temple's east, yet this presumably did not reflect a malicious attitude towards the queen herself but rather conventional practice in decommissioning outdated royal statues in New Kingdom Egypt. The difference is relevant for considering the object in the wider material culture of pharaonic power, for which the life and death of cult images was as rigorously controlled as the lives of their human exemplars.</w:t>
      </w:r>
    </w:p>
    <w:p w14:paraId="40EB2661" w14:textId="77777777" w:rsidR="00B833CD" w:rsidRPr="005A346B" w:rsidRDefault="00000000" w:rsidP="005A346B">
      <w:pPr>
        <w:spacing w:line="480" w:lineRule="auto"/>
        <w:jc w:val="center"/>
      </w:pPr>
      <w:r w:rsidRPr="005A346B">
        <w:rPr>
          <w:b/>
          <w:bCs/>
        </w:rPr>
        <w:lastRenderedPageBreak/>
        <w:t>Material Culture as a Medium of Cultural Exchange</w:t>
      </w:r>
    </w:p>
    <w:p w14:paraId="40661556" w14:textId="7714E602" w:rsidR="00580960" w:rsidRPr="005A346B" w:rsidRDefault="00580960" w:rsidP="005A346B">
      <w:pPr>
        <w:spacing w:line="480" w:lineRule="auto"/>
        <w:ind w:firstLine="720"/>
      </w:pPr>
      <w:r w:rsidRPr="005A346B">
        <w:t xml:space="preserve">The broader significance of the Seated Statue of Hatshepsut for the theme of cultural exchange and material culture is the object as a manifestation of </w:t>
      </w:r>
      <w:r w:rsidR="00E67324" w:rsidRPr="005A346B">
        <w:t>materialized</w:t>
      </w:r>
      <w:r w:rsidRPr="005A346B">
        <w:t xml:space="preserve"> interaction, bolstering the cultural and political borders of Egypt. As noted above, the iconography of the statue is based on conventions that were more than 1,000 years old in Hatshepsut's time. Some of them had been honed in interaction with </w:t>
      </w:r>
      <w:r w:rsidR="00E67324" w:rsidRPr="005A346B">
        <w:t>neighboring</w:t>
      </w:r>
      <w:r w:rsidRPr="005A346B">
        <w:t xml:space="preserve"> cultures: the composite deity Amun-Ra brought together local Theban spirituality with the traditional solar cult of Heliopolis; the composition of seated royal statues tapped into a tradition of representational culture in which artistic canons spread across the Nile Valley through the mobility of court artisans, tribute, and diplomatic gifts.</w:t>
      </w:r>
      <w:r w:rsidR="00E67324" w:rsidRPr="005A346B">
        <w:rPr>
          <w:rStyle w:val="FootnoteReference"/>
        </w:rPr>
        <w:footnoteReference w:id="8"/>
      </w:r>
      <w:r w:rsidRPr="005A346B">
        <w:t xml:space="preserve">  </w:t>
      </w:r>
      <w:r w:rsidR="00E67324" w:rsidRPr="005A346B">
        <w:t>The study also</w:t>
      </w:r>
      <w:r w:rsidRPr="005A346B">
        <w:t xml:space="preserve"> shown throughout the Eighteenth Dynasty that the imagery of royal ideology in the Theban elite circles became increasingly sophisticated as the empire spread into Nubia, the Levant, and the Aegean, resulting in what she argues is an increasing solar theology expressed in elite tomb decoration and, by extension, broader public imagery. </w:t>
      </w:r>
    </w:p>
    <w:p w14:paraId="736C1209" w14:textId="36707A30" w:rsidR="00B833CD" w:rsidRPr="005A346B" w:rsidRDefault="00580960" w:rsidP="005A346B">
      <w:pPr>
        <w:spacing w:line="480" w:lineRule="auto"/>
        <w:ind w:firstLine="720"/>
      </w:pPr>
      <w:r w:rsidRPr="005A346B">
        <w:t xml:space="preserve">In this sense, the seated statue is not the result of an "autonomous" Egyptian tradition of art but the product of cultural and material interaction across a wide expanse of northeast Africa and the eastern Mediterranean. The Punt expedition </w:t>
      </w:r>
      <w:r w:rsidRPr="005A346B">
        <w:t>memorialized</w:t>
      </w:r>
      <w:r w:rsidRPr="005A346B">
        <w:t xml:space="preserve"> at Deir </w:t>
      </w:r>
      <w:proofErr w:type="spellStart"/>
      <w:r w:rsidRPr="005A346B">
        <w:t>el</w:t>
      </w:r>
      <w:proofErr w:type="spellEnd"/>
      <w:r w:rsidRPr="005A346B">
        <w:t xml:space="preserve">-Bahri provided the incense for the cult of Amun; the gold and ritual products from the New Kingdom Nubia funded the economic ramifications of monument production; the Middle Kingdom buildings at the same site established a precedent from which the architectural precedents of the seated statue were derived. The work of Lemos and Budka on New Kingdom colonial Nubia has also revealed that material culture in this period facilitated a series of exchanges in which identities were expressed, positions staked, and power brokered across the colonial and commercial borders of </w:t>
      </w:r>
      <w:r w:rsidRPr="005A346B">
        <w:lastRenderedPageBreak/>
        <w:t>the Egyptian state.</w:t>
      </w:r>
      <w:r w:rsidR="00522E5B" w:rsidRPr="005A346B">
        <w:rPr>
          <w:rStyle w:val="FootnoteReference"/>
        </w:rPr>
        <w:footnoteReference w:id="9"/>
      </w:r>
      <w:r w:rsidRPr="005A346B">
        <w:t xml:space="preserve"> The seated statue of Hatshepsut is just such an object: it is a product of a material culture produced as part of a network of exchange, embedded in a ritual building cast in the shadow of architectural precedent and portraying a ruler whose remarkable political project responded to the legacy of pharaonic precedent. The examination of this object is therefore an exercise in understanding a course premise: that no society, no object of material culture, is formed in isolation, and that the material culture of any given society is the condensed expression of the interactions, exchanges, and accommodations that brought it about.</w:t>
      </w:r>
    </w:p>
    <w:p w14:paraId="38F8E340" w14:textId="77777777" w:rsidR="005A346B" w:rsidRDefault="005A346B">
      <w:pPr>
        <w:rPr>
          <w:b/>
          <w:bCs/>
        </w:rPr>
      </w:pPr>
      <w:r>
        <w:rPr>
          <w:b/>
          <w:bCs/>
        </w:rPr>
        <w:br w:type="page"/>
      </w:r>
    </w:p>
    <w:p w14:paraId="13FCE785" w14:textId="140C5A82" w:rsidR="00B833CD" w:rsidRPr="005A346B" w:rsidRDefault="00000000" w:rsidP="005A346B">
      <w:pPr>
        <w:spacing w:line="480" w:lineRule="auto"/>
      </w:pPr>
      <w:r w:rsidRPr="005A346B">
        <w:rPr>
          <w:b/>
          <w:bCs/>
        </w:rPr>
        <w:lastRenderedPageBreak/>
        <w:t>Bibliography</w:t>
      </w:r>
    </w:p>
    <w:p w14:paraId="41D971B7" w14:textId="77777777" w:rsidR="00522E5B" w:rsidRPr="005A346B" w:rsidRDefault="00522E5B" w:rsidP="005A346B">
      <w:pPr>
        <w:pStyle w:val="Bibliography"/>
        <w:spacing w:after="0" w:line="480" w:lineRule="auto"/>
        <w:ind w:left="720" w:hanging="720"/>
        <w:rPr>
          <w:rFonts w:ascii="Times New Roman" w:hAnsi="Times New Roman" w:cs="Times New Roman"/>
          <w:sz w:val="24"/>
          <w:szCs w:val="24"/>
        </w:rPr>
      </w:pPr>
      <w:r w:rsidRPr="005A346B">
        <w:rPr>
          <w:rFonts w:ascii="Times New Roman" w:hAnsi="Times New Roman" w:cs="Times New Roman"/>
          <w:sz w:val="24"/>
          <w:szCs w:val="24"/>
        </w:rPr>
        <w:t xml:space="preserve">Becker, Lawrence, and Deborah Schorsch. </w:t>
      </w:r>
      <w:r w:rsidRPr="005A346B">
        <w:rPr>
          <w:rFonts w:ascii="Times New Roman" w:hAnsi="Times New Roman" w:cs="Times New Roman"/>
          <w:i/>
          <w:iCs/>
          <w:sz w:val="24"/>
          <w:szCs w:val="24"/>
        </w:rPr>
        <w:t>“The Practice of Objects Conservation in The Metropolitan Museum of Art (1870–1942).”</w:t>
      </w:r>
      <w:r w:rsidRPr="005A346B">
        <w:rPr>
          <w:rFonts w:ascii="Times New Roman" w:hAnsi="Times New Roman" w:cs="Times New Roman"/>
          <w:sz w:val="24"/>
          <w:szCs w:val="24"/>
        </w:rPr>
        <w:t xml:space="preserve"> May 7, 2025. https://www.academia.edu/16327150/_The_Practice_of_Objects_Conservation_in_The_Metropolitan_Museum_of_Art_1870_1942_.</w:t>
      </w:r>
    </w:p>
    <w:p w14:paraId="4DEC4216" w14:textId="77777777" w:rsidR="00522E5B" w:rsidRPr="005A346B" w:rsidRDefault="00522E5B" w:rsidP="005A346B">
      <w:pPr>
        <w:pStyle w:val="Bibliography"/>
        <w:spacing w:after="0" w:line="480" w:lineRule="auto"/>
        <w:ind w:left="720" w:hanging="720"/>
        <w:rPr>
          <w:rFonts w:ascii="Times New Roman" w:hAnsi="Times New Roman" w:cs="Times New Roman"/>
          <w:sz w:val="24"/>
          <w:szCs w:val="24"/>
        </w:rPr>
      </w:pPr>
      <w:r w:rsidRPr="005A346B">
        <w:rPr>
          <w:rFonts w:ascii="Times New Roman" w:hAnsi="Times New Roman" w:cs="Times New Roman"/>
          <w:sz w:val="24"/>
          <w:szCs w:val="24"/>
        </w:rPr>
        <w:t xml:space="preserve">Hartwig, Melinda K. “Royal Ideology and Elite Integration in Theban Tombs as Precursors to the Amarna Period.” </w:t>
      </w:r>
      <w:r w:rsidRPr="005A346B">
        <w:rPr>
          <w:rFonts w:ascii="Times New Roman" w:hAnsi="Times New Roman" w:cs="Times New Roman"/>
          <w:i/>
          <w:iCs/>
          <w:sz w:val="24"/>
          <w:szCs w:val="24"/>
        </w:rPr>
        <w:t>Arts</w:t>
      </w:r>
      <w:r w:rsidRPr="005A346B">
        <w:rPr>
          <w:rFonts w:ascii="Times New Roman" w:hAnsi="Times New Roman" w:cs="Times New Roman"/>
          <w:sz w:val="24"/>
          <w:szCs w:val="24"/>
        </w:rPr>
        <w:t xml:space="preserve"> 14, no. 5 (2025): 125. https://doi.org/10.3390/arts14050125.</w:t>
      </w:r>
    </w:p>
    <w:p w14:paraId="2ED05F68" w14:textId="1EC7EE7D" w:rsidR="00522E5B" w:rsidRPr="005A346B" w:rsidRDefault="00522E5B" w:rsidP="005A346B">
      <w:pPr>
        <w:pStyle w:val="Bibliography"/>
        <w:spacing w:after="0" w:line="480" w:lineRule="auto"/>
        <w:ind w:left="720" w:hanging="720"/>
        <w:rPr>
          <w:rFonts w:ascii="Times New Roman" w:hAnsi="Times New Roman" w:cs="Times New Roman"/>
          <w:sz w:val="24"/>
          <w:szCs w:val="24"/>
        </w:rPr>
      </w:pPr>
      <w:r w:rsidRPr="005A346B">
        <w:rPr>
          <w:rFonts w:ascii="Times New Roman" w:hAnsi="Times New Roman" w:cs="Times New Roman"/>
          <w:sz w:val="24"/>
          <w:szCs w:val="24"/>
        </w:rPr>
        <w:t xml:space="preserve">Lemos, Rennan, and Julia Budka. “Alternatives to Colonization and Marginal Identities in New Kingdom Colonial Nubia (1550–1070 BCE).” </w:t>
      </w:r>
      <w:r w:rsidRPr="005A346B">
        <w:rPr>
          <w:rFonts w:ascii="Times New Roman" w:hAnsi="Times New Roman" w:cs="Times New Roman"/>
          <w:i/>
          <w:iCs/>
          <w:sz w:val="24"/>
          <w:szCs w:val="24"/>
        </w:rPr>
        <w:t>World Archaeology</w:t>
      </w:r>
      <w:r w:rsidRPr="005A346B">
        <w:rPr>
          <w:rFonts w:ascii="Times New Roman" w:hAnsi="Times New Roman" w:cs="Times New Roman"/>
          <w:sz w:val="24"/>
          <w:szCs w:val="24"/>
        </w:rPr>
        <w:t xml:space="preserve"> 53, no. 3 (2021): 401–18. https://doi.org/10.1080/00438243.2021.1999853.</w:t>
      </w:r>
    </w:p>
    <w:p w14:paraId="0AE8DDA5" w14:textId="77777777" w:rsidR="00522E5B" w:rsidRPr="005A346B" w:rsidRDefault="00522E5B" w:rsidP="005A346B">
      <w:pPr>
        <w:pStyle w:val="Bibliography"/>
        <w:spacing w:after="0" w:line="480" w:lineRule="auto"/>
        <w:ind w:left="720" w:hanging="720"/>
        <w:rPr>
          <w:rFonts w:ascii="Times New Roman" w:hAnsi="Times New Roman" w:cs="Times New Roman"/>
          <w:sz w:val="24"/>
          <w:szCs w:val="24"/>
        </w:rPr>
      </w:pPr>
      <w:r w:rsidRPr="005A346B">
        <w:rPr>
          <w:rFonts w:ascii="Times New Roman" w:hAnsi="Times New Roman" w:cs="Times New Roman"/>
          <w:sz w:val="24"/>
          <w:szCs w:val="24"/>
        </w:rPr>
        <w:t xml:space="preserve">Šehović, Amina. “Ancient Egyptian Female Pharaoh Hatshepsut as a Model Of Female Power in Antiquity and Her Visual Representation: The Gender Issue of the „Royal Queer”.” </w:t>
      </w:r>
      <w:r w:rsidRPr="005A346B">
        <w:rPr>
          <w:rFonts w:ascii="Times New Roman" w:hAnsi="Times New Roman" w:cs="Times New Roman"/>
          <w:i/>
          <w:iCs/>
          <w:sz w:val="24"/>
          <w:szCs w:val="24"/>
        </w:rPr>
        <w:t xml:space="preserve">AnALize: </w:t>
      </w:r>
      <w:proofErr w:type="spellStart"/>
      <w:r w:rsidRPr="005A346B">
        <w:rPr>
          <w:rFonts w:ascii="Times New Roman" w:hAnsi="Times New Roman" w:cs="Times New Roman"/>
          <w:i/>
          <w:iCs/>
          <w:sz w:val="24"/>
          <w:szCs w:val="24"/>
        </w:rPr>
        <w:t>Revista</w:t>
      </w:r>
      <w:proofErr w:type="spellEnd"/>
      <w:r w:rsidRPr="005A346B">
        <w:rPr>
          <w:rFonts w:ascii="Times New Roman" w:hAnsi="Times New Roman" w:cs="Times New Roman"/>
          <w:i/>
          <w:iCs/>
          <w:sz w:val="24"/>
          <w:szCs w:val="24"/>
        </w:rPr>
        <w:t xml:space="preserve"> de </w:t>
      </w:r>
      <w:proofErr w:type="spellStart"/>
      <w:r w:rsidRPr="005A346B">
        <w:rPr>
          <w:rFonts w:ascii="Times New Roman" w:hAnsi="Times New Roman" w:cs="Times New Roman"/>
          <w:i/>
          <w:iCs/>
          <w:sz w:val="24"/>
          <w:szCs w:val="24"/>
        </w:rPr>
        <w:t>Studii</w:t>
      </w:r>
      <w:proofErr w:type="spellEnd"/>
      <w:r w:rsidRPr="005A346B">
        <w:rPr>
          <w:rFonts w:ascii="Times New Roman" w:hAnsi="Times New Roman" w:cs="Times New Roman"/>
          <w:i/>
          <w:iCs/>
          <w:sz w:val="24"/>
          <w:szCs w:val="24"/>
        </w:rPr>
        <w:t xml:space="preserve"> </w:t>
      </w:r>
      <w:proofErr w:type="spellStart"/>
      <w:r w:rsidRPr="005A346B">
        <w:rPr>
          <w:rFonts w:ascii="Times New Roman" w:hAnsi="Times New Roman" w:cs="Times New Roman"/>
          <w:i/>
          <w:iCs/>
          <w:sz w:val="24"/>
          <w:szCs w:val="24"/>
        </w:rPr>
        <w:t>Feministe</w:t>
      </w:r>
      <w:proofErr w:type="spellEnd"/>
      <w:r w:rsidRPr="005A346B">
        <w:rPr>
          <w:rFonts w:ascii="Times New Roman" w:hAnsi="Times New Roman" w:cs="Times New Roman"/>
          <w:sz w:val="24"/>
          <w:szCs w:val="24"/>
        </w:rPr>
        <w:t>, no. 17 (31) (2022): 149–59.</w:t>
      </w:r>
    </w:p>
    <w:p w14:paraId="228BB3A6" w14:textId="77777777" w:rsidR="00522E5B" w:rsidRPr="005A346B" w:rsidRDefault="00522E5B" w:rsidP="005A346B">
      <w:pPr>
        <w:pStyle w:val="Bibliography"/>
        <w:spacing w:after="0" w:line="480" w:lineRule="auto"/>
        <w:ind w:left="720" w:hanging="720"/>
        <w:rPr>
          <w:rFonts w:ascii="Times New Roman" w:hAnsi="Times New Roman" w:cs="Times New Roman"/>
          <w:sz w:val="24"/>
          <w:szCs w:val="24"/>
        </w:rPr>
      </w:pPr>
      <w:r w:rsidRPr="005A346B">
        <w:rPr>
          <w:rFonts w:ascii="Times New Roman" w:hAnsi="Times New Roman" w:cs="Times New Roman"/>
          <w:sz w:val="24"/>
          <w:szCs w:val="24"/>
        </w:rPr>
        <w:t xml:space="preserve">Winlock, Herbert E. “The Museum’s Excavations at Thebes.” </w:t>
      </w:r>
      <w:r w:rsidRPr="005A346B">
        <w:rPr>
          <w:rFonts w:ascii="Times New Roman" w:hAnsi="Times New Roman" w:cs="Times New Roman"/>
          <w:i/>
          <w:iCs/>
          <w:sz w:val="24"/>
          <w:szCs w:val="24"/>
        </w:rPr>
        <w:t>The Metropolitan Museum of Art Bulletin</w:t>
      </w:r>
      <w:r w:rsidRPr="005A346B">
        <w:rPr>
          <w:rFonts w:ascii="Times New Roman" w:hAnsi="Times New Roman" w:cs="Times New Roman"/>
          <w:sz w:val="24"/>
          <w:szCs w:val="24"/>
        </w:rPr>
        <w:t xml:space="preserve"> 18, no. 12 (1923): 11–39. https://doi.org/10.2307/3254661.</w:t>
      </w:r>
    </w:p>
    <w:p w14:paraId="36F85C58" w14:textId="64779D53" w:rsidR="00B833CD" w:rsidRPr="005A346B" w:rsidRDefault="00522E5B" w:rsidP="005A346B">
      <w:pPr>
        <w:spacing w:line="480" w:lineRule="auto"/>
        <w:ind w:left="720" w:hanging="720"/>
        <w:jc w:val="both"/>
      </w:pPr>
      <w:r w:rsidRPr="005A346B">
        <w:t xml:space="preserve">Wong, Jun Yi. “The Afterlife of Hatshepsut’s Statuary.” </w:t>
      </w:r>
      <w:r w:rsidRPr="005A346B">
        <w:rPr>
          <w:i/>
          <w:iCs/>
        </w:rPr>
        <w:t>Antiquity</w:t>
      </w:r>
      <w:r w:rsidRPr="005A346B">
        <w:t xml:space="preserve"> 99, no. 405 (2025): 746–61. https://doi.org/10.15184/aqy.2025.64.</w:t>
      </w:r>
    </w:p>
    <w:sectPr w:rsidR="00B833CD" w:rsidRPr="005A346B">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289BD" w14:textId="77777777" w:rsidR="00650324" w:rsidRDefault="00650324">
      <w:r>
        <w:separator/>
      </w:r>
    </w:p>
  </w:endnote>
  <w:endnote w:type="continuationSeparator" w:id="0">
    <w:p w14:paraId="3E648A12" w14:textId="77777777" w:rsidR="00650324" w:rsidRDefault="0065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362F8" w14:textId="77777777" w:rsidR="00650324" w:rsidRDefault="00650324">
      <w:r>
        <w:separator/>
      </w:r>
    </w:p>
  </w:footnote>
  <w:footnote w:type="continuationSeparator" w:id="0">
    <w:p w14:paraId="5E462A21" w14:textId="77777777" w:rsidR="00650324" w:rsidRDefault="00650324">
      <w:r>
        <w:continuationSeparator/>
      </w:r>
    </w:p>
  </w:footnote>
  <w:footnote w:id="1">
    <w:p w14:paraId="1CDC35CA" w14:textId="2506BD06" w:rsidR="00B833CD" w:rsidRDefault="00000000">
      <w:r>
        <w:rPr>
          <w:rStyle w:val="FootnoteReference"/>
        </w:rPr>
        <w:footnoteRef/>
      </w:r>
      <w:r>
        <w:rPr>
          <w:sz w:val="20"/>
          <w:szCs w:val="20"/>
        </w:rPr>
        <w:t xml:space="preserve">. The Metropolitan Museum of Art, "Seated Statue of Hatshepsut," accession no. 29.3.2, ca. 1479–1458 BCE, Rogers Fund, 1929. For Hatshepsut's throne name and political career, see </w:t>
      </w:r>
      <w:r w:rsidR="00832C83">
        <w:fldChar w:fldCharType="begin"/>
      </w:r>
      <w:r w:rsidR="00832C83">
        <w:instrText xml:space="preserve"> ADDIN ZOTERO_ITEM CSL_CITATION {"citationID":"yU11xJ1g","properties":{"formattedCitation":"Amina \\uc0\\u352{}ehovi\\uc0\\u263{}, \\uc0\\u8220{}Ancient Egyptian Female Pharaoh Hatshepsut as a Model Of Female Power in Antiquity and Her Visual Representation: The Gender Issue of the \\uc0\\u8222{}Royal Queer\\uc0\\u8221{},\\uc0\\u8221{} {\\i{}AnALize: Revista de Studii Feministe}, no. 17 (31) (2022): 149\\uc0\\u8211{}59.","plainCitation":"Amina Šehović, “Ancient Egyptian Female Pharaoh Hatshepsut as a Model Of Female Power in Antiquity and Her Visual Representation: The Gender Issue of the „Royal Queer”,” AnALize: Revista de Studii Feministe, no. 17 (31) (2022): 149–59.","noteIndex":1},"citationItems":[{"id":17145,"uris":["http://zotero.org/users/local/tDp9ODyy/items/D59B6SM4"],"itemData":{"id":17145,"type":"article-journal","abstract":"Hatshepsut was among the most powerful women of the ancient world. Besides that, she was probably one of the most powerful women in the whole of human history. She was a ruler in ancient Egypt from ca. 1479 to 1458 BC. More precisely, Hatshepsut was a queen, a regent, a co-regent, and a king/pharaoh. Hatshepsut could not be the head of Egypt as a queen—in order to rule, she had to become a king or pharaoh. Because of that, she wanted to present herself not just as a woman, but as a man too. Ideology demanded a male ruler and Hatshepsut adjusted to that as best as she could. But Tutmos III erased her from history after her death with an act known as damnatio memoriae. Therefore, Hatshepsut&amp;#39;s name was forgotten for thousands of years. This paper will not deal in detail with Hatshepsut&amp;#39;s biography or all the achievements she accomplished during her reign, but through the prism of her life and reign, it will give a look at the model of women&amp;#39;s power in antiquity established by Hatshepsut, and a look at her position as a female ruler. One of the aspects of this paper is Hatshepsut&amp;#39;s visual representation, and an attempt will be made to explain what it means that Hatshepsut (in some cases) was portrayed as a man.","container-title":"AnALize: Revista de studii feministe","ISSN":"1453-7559","issue":"17 (31)","language":"English","page":"149-159","publisher":"Societatea de Analize Feministe AnA","source":"www.ceeol.com","title":"Ancient Egyptian Female Pharaoh Hatshepsut as a Model Of Female Power in Antiquity and Her Visual Representation: the Gender Issue of the „Royal Queer”","title-short":"Ancient Egyptian Female Pharaoh Hatshepsut as a Model Of Female Power in Antiquity and Her Visual Representation","author":[{"family":"Šehović","given":"Amina"}],"issued":{"date-parts":[["2022"]]}}}],"schema":"https://github.com/citation-style-language/schema/raw/master/csl-citation.json"} </w:instrText>
      </w:r>
      <w:r w:rsidR="00832C83">
        <w:fldChar w:fldCharType="separate"/>
      </w:r>
      <w:r w:rsidR="00832C83" w:rsidRPr="001B4D3D">
        <w:rPr>
          <w:rFonts w:ascii="Calibri" w:hAnsi="Calibri" w:cs="Calibri"/>
          <w:sz w:val="20"/>
        </w:rPr>
        <w:t xml:space="preserve">Amina Šehović, “Ancient Egyptian Female Pharaoh Hatshepsut as a Model Of Female Power in Antiquity and Her Visual Representation: The Gender Issue of the „Royal Queer”,” </w:t>
      </w:r>
      <w:r w:rsidR="00832C83" w:rsidRPr="001B4D3D">
        <w:rPr>
          <w:rFonts w:ascii="Calibri" w:hAnsi="Calibri" w:cs="Calibri"/>
          <w:i/>
          <w:iCs/>
          <w:sz w:val="20"/>
        </w:rPr>
        <w:t xml:space="preserve">AnALize: </w:t>
      </w:r>
      <w:proofErr w:type="spellStart"/>
      <w:r w:rsidR="00832C83" w:rsidRPr="001B4D3D">
        <w:rPr>
          <w:rFonts w:ascii="Calibri" w:hAnsi="Calibri" w:cs="Calibri"/>
          <w:i/>
          <w:iCs/>
          <w:sz w:val="20"/>
        </w:rPr>
        <w:t>Revista</w:t>
      </w:r>
      <w:proofErr w:type="spellEnd"/>
      <w:r w:rsidR="00832C83" w:rsidRPr="001B4D3D">
        <w:rPr>
          <w:rFonts w:ascii="Calibri" w:hAnsi="Calibri" w:cs="Calibri"/>
          <w:i/>
          <w:iCs/>
          <w:sz w:val="20"/>
        </w:rPr>
        <w:t xml:space="preserve"> de </w:t>
      </w:r>
      <w:proofErr w:type="spellStart"/>
      <w:r w:rsidR="00832C83" w:rsidRPr="001B4D3D">
        <w:rPr>
          <w:rFonts w:ascii="Calibri" w:hAnsi="Calibri" w:cs="Calibri"/>
          <w:i/>
          <w:iCs/>
          <w:sz w:val="20"/>
        </w:rPr>
        <w:t>Studii</w:t>
      </w:r>
      <w:proofErr w:type="spellEnd"/>
      <w:r w:rsidR="00832C83" w:rsidRPr="001B4D3D">
        <w:rPr>
          <w:rFonts w:ascii="Calibri" w:hAnsi="Calibri" w:cs="Calibri"/>
          <w:i/>
          <w:iCs/>
          <w:sz w:val="20"/>
        </w:rPr>
        <w:t xml:space="preserve"> </w:t>
      </w:r>
      <w:proofErr w:type="spellStart"/>
      <w:r w:rsidR="00832C83" w:rsidRPr="001B4D3D">
        <w:rPr>
          <w:rFonts w:ascii="Calibri" w:hAnsi="Calibri" w:cs="Calibri"/>
          <w:i/>
          <w:iCs/>
          <w:sz w:val="20"/>
        </w:rPr>
        <w:t>Feministe</w:t>
      </w:r>
      <w:proofErr w:type="spellEnd"/>
      <w:r w:rsidR="00832C83" w:rsidRPr="001B4D3D">
        <w:rPr>
          <w:rFonts w:ascii="Calibri" w:hAnsi="Calibri" w:cs="Calibri"/>
          <w:sz w:val="20"/>
        </w:rPr>
        <w:t>, no. 17 (31) (2022): 149–59.</w:t>
      </w:r>
      <w:r w:rsidR="00832C83">
        <w:fldChar w:fldCharType="end"/>
      </w:r>
    </w:p>
  </w:footnote>
  <w:footnote w:id="2">
    <w:p w14:paraId="249FFC11" w14:textId="1ACDE46D" w:rsidR="00B833CD" w:rsidRDefault="00000000">
      <w:r>
        <w:rPr>
          <w:rStyle w:val="FootnoteReference"/>
        </w:rPr>
        <w:footnoteRef/>
      </w:r>
      <w:r>
        <w:rPr>
          <w:sz w:val="20"/>
          <w:szCs w:val="20"/>
        </w:rPr>
        <w:t xml:space="preserve">. </w:t>
      </w:r>
      <w:r w:rsidR="00832C83">
        <w:fldChar w:fldCharType="begin"/>
      </w:r>
      <w:r w:rsidR="00E67324">
        <w:instrText xml:space="preserve"> ADDIN ZOTERO_ITEM CSL_CITATION {"citationID":"1uoyjEBs","properties":{"formattedCitation":"\\uc0\\u352{}ehovi\\uc0\\u263{}, \\uc0\\u8220{}Ancient Egyptian Female Pharaoh Hatshepsut as a Model Of Female Power in Antiquity and Her Visual Representation.\\uc0\\u8221{}","plainCitation":"Šehović, “Ancient Egyptian Female Pharaoh Hatshepsut as a Model Of Female Power in Antiquity and Her Visual Representation.”","noteIndex":2},"citationItems":[{"id":17145,"uris":["http://zotero.org/users/local/tDp9ODyy/items/D59B6SM4"],"itemData":{"id":17145,"type":"article-journal","abstract":"Hatshepsut was among the most powerful women of the ancient world. Besides that, she was probably one of the most powerful women in the whole of human history. She was a ruler in ancient Egypt from ca. 1479 to 1458 BC. More precisely, Hatshepsut was a queen, a regent, a co-regent, and a king/pharaoh. Hatshepsut could not be the head of Egypt as a queen—in order to rule, she had to become a king or pharaoh. Because of that, she wanted to present herself not just as a woman, but as a man too. Ideology demanded a male ruler and Hatshepsut adjusted to that as best as she could. But Tutmos III erased her from history after her death with an act known as damnatio memoriae. Therefore, Hatshepsut&amp;#39;s name was forgotten for thousands of years. This paper will not deal in detail with Hatshepsut&amp;#39;s biography or all the achievements she accomplished during her reign, but through the prism of her life and reign, it will give a look at the model of women&amp;#39;s power in antiquity established by Hatshepsut, and a look at her position as a female ruler. One of the aspects of this paper is Hatshepsut&amp;#39;s visual representation, and an attempt will be made to explain what it means that Hatshepsut (in some cases) was portrayed as a man.","container-title":"AnALize: Revista de studii feministe","ISSN":"1453-7559","issue":"17 (31)","language":"English","page":"149-159","publisher":"Societatea de Analize Feministe AnA","source":"www.ceeol.com","title":"Ancient Egyptian Female Pharaoh Hatshepsut as a Model Of Female Power in Antiquity and Her Visual Representation: the Gender Issue of the „Royal Queer”","title-short":"Ancient Egyptian Female Pharaoh Hatshepsut as a Model Of Female Power in Antiquity and Her Visual Representation","author":[{"family":"Šehović","given":"Amina"}],"issued":{"date-parts":[["2022"]]}}}],"schema":"https://github.com/citation-style-language/schema/raw/master/csl-citation.json"} </w:instrText>
      </w:r>
      <w:r w:rsidR="00832C83">
        <w:fldChar w:fldCharType="separate"/>
      </w:r>
      <w:r w:rsidR="00E67324" w:rsidRPr="00E67324">
        <w:rPr>
          <w:sz w:val="20"/>
        </w:rPr>
        <w:t>Šehović, “Ancient Egyptian Female Pharaoh Hatshepsut as a Model Of Female Power in Antiquity and Her Visual Representation.”</w:t>
      </w:r>
      <w:r w:rsidR="00832C83">
        <w:fldChar w:fldCharType="end"/>
      </w:r>
    </w:p>
  </w:footnote>
  <w:footnote w:id="3">
    <w:p w14:paraId="2895D76B" w14:textId="71FA8529" w:rsidR="00B833CD" w:rsidRDefault="00000000">
      <w:r>
        <w:rPr>
          <w:rStyle w:val="FootnoteReference"/>
        </w:rPr>
        <w:footnoteRef/>
      </w:r>
      <w:r>
        <w:rPr>
          <w:sz w:val="20"/>
          <w:szCs w:val="20"/>
        </w:rPr>
        <w:t xml:space="preserve">. </w:t>
      </w:r>
      <w:r w:rsidR="00832C83" w:rsidRPr="001B4D3D">
        <w:rPr>
          <w:rFonts w:ascii="Calibri" w:hAnsi="Calibri" w:cs="Calibri"/>
          <w:sz w:val="20"/>
        </w:rPr>
        <w:t xml:space="preserve">Rennan Lemos and Julia Budka, “Alternatives to Colonization and Marginal Identities in New Kingdom Colonial Nubia (1550–1070 BCE),” </w:t>
      </w:r>
      <w:r w:rsidR="00832C83" w:rsidRPr="001B4D3D">
        <w:rPr>
          <w:rFonts w:ascii="Calibri" w:hAnsi="Calibri" w:cs="Calibri"/>
          <w:i/>
          <w:iCs/>
          <w:sz w:val="20"/>
        </w:rPr>
        <w:t>World Archaeology</w:t>
      </w:r>
      <w:r w:rsidR="00832C83" w:rsidRPr="001B4D3D">
        <w:rPr>
          <w:rFonts w:ascii="Calibri" w:hAnsi="Calibri" w:cs="Calibri"/>
          <w:sz w:val="20"/>
        </w:rPr>
        <w:t xml:space="preserve"> 53, no. 3 (2021): 401–18, https://doi.org/10.1080/00438243.2021.1999853</w:t>
      </w:r>
    </w:p>
  </w:footnote>
  <w:footnote w:id="4">
    <w:p w14:paraId="2093AED5" w14:textId="5E0F32FA" w:rsidR="00B833CD" w:rsidRDefault="00000000">
      <w:r>
        <w:rPr>
          <w:rStyle w:val="FootnoteReference"/>
        </w:rPr>
        <w:footnoteRef/>
      </w:r>
      <w:r>
        <w:rPr>
          <w:sz w:val="20"/>
          <w:szCs w:val="20"/>
        </w:rPr>
        <w:t xml:space="preserve">. </w:t>
      </w:r>
      <w:r w:rsidR="00E67324">
        <w:fldChar w:fldCharType="begin"/>
      </w:r>
      <w:r w:rsidR="00E67324">
        <w:instrText xml:space="preserve"> ADDIN ZOTERO_ITEM CSL_CITATION {"citationID":"XX3aJSkV","properties":{"formattedCitation":"Herbert E. Winlock, \\uc0\\u8220{}The Museum\\uc0\\u8217{}s Excavations at Thebes,\\uc0\\u8221{} {\\i{}The Metropolitan Museum of Art Bulletin} 18, no. 12 (1923): 11\\uc0\\u8211{}39, https://doi.org/10.2307/3254661.","plainCitation":"Herbert E. Winlock, “The Museum’s Excavations at Thebes,” The Metropolitan Museum of Art Bulletin 18, no. 12 (1923): 11–39, https://doi.org/10.2307/3254661.","noteIndex":3},"citationItems":[{"id":17151,"uris":["http://zotero.org/users/local/tDp9ODyy/items/FJTTP2NV"],"itemData":{"id":17151,"type":"article-journal","container-title":"The Metropolitan Museum of Art Bulletin","DOI":"10.2307/3254661","ISSN":"0026-1521","issue":"12","page":"11-39","publisher":"The Metropolitan Museum of Art","source":"JSTOR","title":"The Museum's Excavations at Thebes","volume":"18","author":[{"family":"Winlock","given":"Herbert E."}],"issued":{"date-parts":[["1923"]]}}}],"schema":"https://github.com/citation-style-language/schema/raw/master/csl-citation.json"} </w:instrText>
      </w:r>
      <w:r w:rsidR="00E67324">
        <w:fldChar w:fldCharType="separate"/>
      </w:r>
      <w:r w:rsidR="00E67324" w:rsidRPr="00641404">
        <w:rPr>
          <w:rFonts w:ascii="Calibri" w:hAnsi="Calibri" w:cs="Calibri"/>
          <w:sz w:val="20"/>
        </w:rPr>
        <w:t xml:space="preserve">Herbert E. Winlock, “The Museum’s Excavations at Thebes,” </w:t>
      </w:r>
      <w:r w:rsidR="00E67324" w:rsidRPr="00641404">
        <w:rPr>
          <w:rFonts w:ascii="Calibri" w:hAnsi="Calibri" w:cs="Calibri"/>
          <w:i/>
          <w:iCs/>
          <w:sz w:val="20"/>
        </w:rPr>
        <w:t>The Metropolitan Museum of Art Bulletin</w:t>
      </w:r>
      <w:r w:rsidR="00E67324" w:rsidRPr="00641404">
        <w:rPr>
          <w:rFonts w:ascii="Calibri" w:hAnsi="Calibri" w:cs="Calibri"/>
          <w:sz w:val="20"/>
        </w:rPr>
        <w:t xml:space="preserve"> 18, no. 12 (1923): 11–39, https://doi.org/10.2307/3254661.</w:t>
      </w:r>
      <w:r w:rsidR="00E67324">
        <w:fldChar w:fldCharType="end"/>
      </w:r>
    </w:p>
  </w:footnote>
  <w:footnote w:id="5">
    <w:p w14:paraId="5CA6DDB2" w14:textId="1D9CB039" w:rsidR="00B833CD" w:rsidRDefault="00000000">
      <w:r>
        <w:rPr>
          <w:rStyle w:val="FootnoteReference"/>
        </w:rPr>
        <w:footnoteRef/>
      </w:r>
      <w:r>
        <w:rPr>
          <w:sz w:val="20"/>
          <w:szCs w:val="20"/>
        </w:rPr>
        <w:t xml:space="preserve">. </w:t>
      </w:r>
      <w:r w:rsidR="00E67324">
        <w:fldChar w:fldCharType="begin"/>
      </w:r>
      <w:r w:rsidR="00E67324">
        <w:instrText xml:space="preserve"> ADDIN ZOTERO_ITEM CSL_CITATION {"citationID":"qvtBhyuk","properties":{"formattedCitation":"Lawrence Becker and Deborah Schorsch, {\\i{}\\uc0\\u8220{}The Practice of Objects Conservation in The Metropolitan Museum of Art (1870\\uc0\\u8211{}1942).,\\uc0\\u8221{}} May 7, 2025, https://www.academia.edu/16327150/_The_Practice_of_Objects_Conservation_in_The_Metropolitan_Museum_of_Art_1870_1942_.","plainCitation":"Lawrence Becker and Deborah Schorsch, “The Practice of Objects Conservation in The Metropolitan Museum of Art (1870–1942).,” May 7, 2025, https://www.academia.edu/16327150/_The_Practice_of_Objects_Conservation_in_The_Metropolitan_Museum_of_Art_1870_1942_.","noteIndex":4},"citationItems":[{"id":17153,"uris":["http://zotero.org/users/local/tDp9ODyy/items/XIQ3GVK9"],"itemData":{"id":17153,"type":"article-journal","abstract":"Given the importance of conservation to the mission of The Metropolitan Museum of Art, it is of interest to trace and document the beginning and evolution of conservation practices, philosophical approaches to collections care, and specific","source":"www.academia.edu","title":"“The Practice of Objects Conservation in The Metropolitan Museum of Art (1870–1942).”","URL":"https://www.academia.edu/16327150/_The_Practice_of_Objects_Conservation_in_The_Metropolitan_Museum_of_Art_1870_1942_","author":[{"family":"Becker","given":"Lawrence"},{"family":"Schorsch","given":"Deborah"}],"accessed":{"date-parts":[["2026",4,30]]},"issued":{"date-parts":[["2025",5,7]]}}}],"schema":"https://github.com/citation-style-language/schema/raw/master/csl-citation.json"} </w:instrText>
      </w:r>
      <w:r w:rsidR="00E67324">
        <w:fldChar w:fldCharType="separate"/>
      </w:r>
      <w:r w:rsidR="00E67324" w:rsidRPr="00641404">
        <w:rPr>
          <w:rFonts w:ascii="Calibri" w:hAnsi="Calibri" w:cs="Calibri"/>
          <w:sz w:val="20"/>
        </w:rPr>
        <w:t xml:space="preserve">Lawrence Becker and Deborah Schorsch, </w:t>
      </w:r>
      <w:r w:rsidR="00E67324" w:rsidRPr="00641404">
        <w:rPr>
          <w:rFonts w:ascii="Calibri" w:hAnsi="Calibri" w:cs="Calibri"/>
          <w:i/>
          <w:iCs/>
          <w:sz w:val="20"/>
        </w:rPr>
        <w:t>“The Practice of Objects Conservation in The Metropolitan Museum of Art (1870–1942).,”</w:t>
      </w:r>
      <w:r w:rsidR="00E67324" w:rsidRPr="00641404">
        <w:rPr>
          <w:rFonts w:ascii="Calibri" w:hAnsi="Calibri" w:cs="Calibri"/>
          <w:sz w:val="20"/>
        </w:rPr>
        <w:t xml:space="preserve"> May 7, 2025,</w:t>
      </w:r>
      <w:r w:rsidR="00E67324">
        <w:rPr>
          <w:rFonts w:ascii="Calibri" w:hAnsi="Calibri" w:cs="Calibri"/>
          <w:sz w:val="20"/>
        </w:rPr>
        <w:t xml:space="preserve"> </w:t>
      </w:r>
      <w:r w:rsidR="00E67324" w:rsidRPr="00641404">
        <w:rPr>
          <w:rFonts w:ascii="Calibri" w:hAnsi="Calibri" w:cs="Calibri"/>
          <w:sz w:val="20"/>
        </w:rPr>
        <w:t>https://www.academia.edu/16327150/_The_Practice_of_Objects_Conservation_in_The_Metropolitan_Museum_of_Art_1870_1942_.</w:t>
      </w:r>
      <w:r w:rsidR="00E67324">
        <w:fldChar w:fldCharType="end"/>
      </w:r>
    </w:p>
  </w:footnote>
  <w:footnote w:id="6">
    <w:p w14:paraId="16093B7B" w14:textId="4E394AB7" w:rsidR="00E67324" w:rsidRDefault="00E67324">
      <w:pPr>
        <w:pStyle w:val="FootnoteText"/>
      </w:pPr>
      <w:r>
        <w:rPr>
          <w:rStyle w:val="FootnoteReference"/>
        </w:rPr>
        <w:footnoteRef/>
      </w:r>
      <w:r>
        <w:t xml:space="preserve"> </w:t>
      </w:r>
      <w:r>
        <w:fldChar w:fldCharType="begin"/>
      </w:r>
      <w:r>
        <w:instrText xml:space="preserve"> ADDIN ZOTERO_ITEM CSL_CITATION {"citationID":"6voUEwFd","properties":{"formattedCitation":"Jun Yi Wong, \\uc0\\u8220{}The Afterlife of Hatshepsut\\uc0\\u8217{}s Statuary,\\uc0\\u8221{} {\\i{}Antiquity} 99, no. 405 (2025): 746\\uc0\\u8211{}61, https://doi.org/10.15184/aqy.2025.64.","plainCitation":"Jun Yi Wong, “The Afterlife of Hatshepsut’s Statuary,” Antiquity 99, no. 405 (2025): 746–61, https://doi.org/10.15184/aqy.2025.64.","noteIndex":6},"citationItems":[{"id":17155,"uris":["http://zotero.org/users/local/tDp9ODyy/items/5TWWKTJV"],"itemData":{"id":17155,"type":"article-journal","abstract":", The statuary of Hatshepsut, who ruled Egypt during the Eighteenth Dynasty, is believed to have been targeted for violent destruction by Thutmose III, her successor. Yet the condition of the statues recovered in the vicinity of Hatshepsut’s mortuary temple at Deir el-Bahri varies considerably and many survive with their faces virtually intact. Through the examination of archival material from the original excavations, the author offers an alternative, more utilitarian, explanation of the treatment of these statues. Rather than outright hostility, much of the damage may instead derive from the ‘deactivation’ of the statues and their reuse as raw material.","container-title":"Antiquity","DOI":"10.15184/aqy.2025.64","ISSN":"0003-598X, 1745-1744","issue":"405","language":"en","page":"746-761","source":"Cambridge University Press","title":"The afterlife of Hatshepsut’s statuary","volume":"99","author":[{"family":"Wong","given":"Jun Yi"}],"issued":{"date-parts":[["2025",6]]}}}],"schema":"https://github.com/citation-style-language/schema/raw/master/csl-citation.json"} </w:instrText>
      </w:r>
      <w:r>
        <w:fldChar w:fldCharType="separate"/>
      </w:r>
      <w:r w:rsidRPr="00E67324">
        <w:rPr>
          <w:szCs w:val="24"/>
        </w:rPr>
        <w:t xml:space="preserve">Jun Yi Wong, “The Afterlife of Hatshepsut’s Statuary,” </w:t>
      </w:r>
      <w:r w:rsidRPr="00E67324">
        <w:rPr>
          <w:i/>
          <w:iCs/>
          <w:szCs w:val="24"/>
        </w:rPr>
        <w:t>Antiquity</w:t>
      </w:r>
      <w:r w:rsidRPr="00E67324">
        <w:rPr>
          <w:szCs w:val="24"/>
        </w:rPr>
        <w:t xml:space="preserve"> 99, no. 405 (2025): 746–61, https://doi.org/10.15184/aqy.2025.64.</w:t>
      </w:r>
      <w:r>
        <w:fldChar w:fldCharType="end"/>
      </w:r>
    </w:p>
  </w:footnote>
  <w:footnote w:id="7">
    <w:p w14:paraId="2063CA72" w14:textId="233207A4" w:rsidR="00E67324" w:rsidRDefault="00E67324">
      <w:pPr>
        <w:pStyle w:val="FootnoteText"/>
      </w:pPr>
      <w:r>
        <w:rPr>
          <w:rStyle w:val="FootnoteReference"/>
        </w:rPr>
        <w:footnoteRef/>
      </w:r>
      <w:r>
        <w:t xml:space="preserve"> </w:t>
      </w:r>
      <w:r>
        <w:fldChar w:fldCharType="begin"/>
      </w:r>
      <w:r>
        <w:instrText xml:space="preserve"> ADDIN ZOTERO_ITEM CSL_CITATION {"citationID":"YUg7vGr4","properties":{"formattedCitation":"Rennan Lemos and Julia Budka, \\uc0\\u8220{}Alternatives to Colonization and Marginal Identities in New Kingdom Colonial Nubia (1550\\uc0\\u8211{}1070 BCE),\\uc0\\u8221{} {\\i{}World Archaeology} 53, no. 3 (2021): 401\\uc0\\u8211{}18, https://doi.org/10.1080/00438243.2021.1999853.","plainCitation":"Rennan Lemos and Julia Budka, “Alternatives to Colonization and Marginal Identities in New Kingdom Colonial Nubia (1550–1070 BCE),” World Archaeology 53, no. 3 (2021): 401–18, https://doi.org/10.1080/00438243.2021.1999853.","noteIndex":7},"citationItems":[{"id":17146,"uris":["http://zotero.org/users/local/tDp9ODyy/items/ZYE2F9EJ"],"itemData":{"id":17146,"type":"article-journal","abstract":"Material culture worked as an essential supporting pillar of the ancient Egyptian colonization of Nubia. During the New Kingdom colonial period (1550–1070 BCE), the material culture of various colonial sites in Nubia consisted of a majority of Egyptian-style objects (including both imported and locally produced objects). Egyptian-style objects materialized foreign presence in local contexts and allowed communities to negotiate identities and positions in a colonial situation. However, far from homogenizing local realities, foreign objects performed different roles in local contexts. This sheds light on the social dimensions of culture contacts in colonial situations and allows us to identify how the local adoption and uses of foreign objects in local contexts produces marginality in the colony.","container-title":"World Archaeology","DOI":"10.1080/00438243.2021.1999853","ISSN":"0043-8243","issue":"3","note":"_eprint: https://doi.org/10.1080/00438243.2021.1999853","page":"401-418","publisher":"Routledge","source":"Taylor and Francis+NEJM","title":"Alternatives to colonization and marginal identities in New Kingdom colonial Nubia (1550–1070 BCE)","volume":"53","author":[{"family":"Lemos","given":"Rennan"},{"family":"Budka","given":"Julia"}],"issued":{"date-parts":[["2021",5,27]]}}}],"schema":"https://github.com/citation-style-language/schema/raw/master/csl-citation.json"} </w:instrText>
      </w:r>
      <w:r>
        <w:fldChar w:fldCharType="separate"/>
      </w:r>
      <w:r w:rsidRPr="00E67324">
        <w:rPr>
          <w:szCs w:val="24"/>
        </w:rPr>
        <w:t xml:space="preserve">Rennan Lemos and Julia Budka, “Alternatives to Colonization and Marginal Identities in New Kingdom Colonial Nubia (1550–1070 BCE),” </w:t>
      </w:r>
      <w:r w:rsidRPr="00E67324">
        <w:rPr>
          <w:i/>
          <w:iCs/>
          <w:szCs w:val="24"/>
        </w:rPr>
        <w:t>World Archaeology</w:t>
      </w:r>
      <w:r w:rsidRPr="00E67324">
        <w:rPr>
          <w:szCs w:val="24"/>
        </w:rPr>
        <w:t xml:space="preserve"> 53, no. 3 (2021): 401–18, https://doi.org/10.1080/00438243.2021.1999853.</w:t>
      </w:r>
      <w:r>
        <w:fldChar w:fldCharType="end"/>
      </w:r>
    </w:p>
  </w:footnote>
  <w:footnote w:id="8">
    <w:p w14:paraId="05C4A71B" w14:textId="23AFF5EA" w:rsidR="00E67324" w:rsidRDefault="00E67324">
      <w:pPr>
        <w:pStyle w:val="FootnoteText"/>
      </w:pPr>
      <w:r>
        <w:rPr>
          <w:rStyle w:val="FootnoteReference"/>
        </w:rPr>
        <w:footnoteRef/>
      </w:r>
      <w:r>
        <w:t xml:space="preserve"> </w:t>
      </w:r>
      <w:r>
        <w:fldChar w:fldCharType="begin"/>
      </w:r>
      <w:r>
        <w:instrText xml:space="preserve"> ADDIN ZOTERO_ITEM CSL_CITATION {"citationID":"VsYWezAy","properties":{"formattedCitation":"Melinda K. Hartwig, \\uc0\\u8220{}Royal Ideology and Elite Integration in Theban Tombs as Precursors to the Amarna Period,\\uc0\\u8221{} {\\i{}Arts} 14, no. 5 (2025): 125, https://doi.org/10.3390/arts14050125.","plainCitation":"Melinda K. Hartwig, “Royal Ideology and Elite Integration in Theban Tombs as Precursors to the Amarna Period,” Arts 14, no. 5 (2025): 125, https://doi.org/10.3390/arts14050125.","noteIndex":8},"citationItems":[{"id":17159,"uris":["http://zotero.org/users/local/tDp9ODyy/items/3T6QE6K5"],"itemData":{"id":17159,"type":"article-journal","abstract":"This paper will examine how tomb chapel imagery changed to depict a state of being that marked a theological and cultural shift during the reigns of Thutmose IV and Amenhotep III. The iconography of the royal kiosk scene reflects the growing influence of solar theology. At the same time, the king, as the mediator between the gods and humanity, appears as the primary source of the tomb owner’s well-being in the afterlife. Scenes of family life give way to depictions illustrating the tomb owner’s official role in relation to the king. Likewise, many of the so-called innovations in Amarna tomb decoration are already evident, such as the depiction of locality and specificity, setting and action, emotion, and the spontaneity of the here-and-now. At this time in the tomb’s transverse halls and porticos, the king dominates the decoration in the public areas of the chapel, along with depictions of the deceased’s service to him. Family images are gradually relegated to the inner hall of tombs, becoming almost non-existent by the late reign of Amenhotep III. By the reign of his son, all tomb scenes became oriented towards Akhenaten, who alone would provide, along with the Aten, for the deceased’s cult, career, social identity, and eternal survival.","container-title":"Arts","DOI":"10.3390/arts14050125","ISSN":"2076-0752","issue":"5","language":"en","license":"http://creativecommons.org/licenses/by/3.0/","page":"125","publisher":"Multidisciplinary Digital Publishing Institute","source":"www.mdpi.com","title":"Royal Ideology and Elite Integration in Theban Tombs as Precursors to the Amarna Period","volume":"14","author":[{"family":"Hartwig","given":"Melinda K."}],"issued":{"date-parts":[["2025",10]]}}}],"schema":"https://github.com/citation-style-language/schema/raw/master/csl-citation.json"} </w:instrText>
      </w:r>
      <w:r>
        <w:fldChar w:fldCharType="separate"/>
      </w:r>
      <w:r w:rsidRPr="00E67324">
        <w:rPr>
          <w:szCs w:val="24"/>
        </w:rPr>
        <w:t xml:space="preserve">Melinda K. Hartwig, “Royal Ideology and Elite Integration in Theban Tombs as Precursors to the Amarna Period,” </w:t>
      </w:r>
      <w:r w:rsidRPr="00E67324">
        <w:rPr>
          <w:i/>
          <w:iCs/>
          <w:szCs w:val="24"/>
        </w:rPr>
        <w:t>Arts</w:t>
      </w:r>
      <w:r w:rsidRPr="00E67324">
        <w:rPr>
          <w:szCs w:val="24"/>
        </w:rPr>
        <w:t xml:space="preserve"> 14, no. 5 (2025): 125, https://doi.org/10.3390/arts14050125.</w:t>
      </w:r>
      <w:r>
        <w:fldChar w:fldCharType="end"/>
      </w:r>
    </w:p>
  </w:footnote>
  <w:footnote w:id="9">
    <w:p w14:paraId="21CDB68D" w14:textId="5FABE58C" w:rsidR="00522E5B" w:rsidRDefault="00522E5B">
      <w:pPr>
        <w:pStyle w:val="FootnoteText"/>
      </w:pPr>
      <w:r>
        <w:rPr>
          <w:rStyle w:val="FootnoteReference"/>
        </w:rPr>
        <w:footnoteRef/>
      </w:r>
      <w:r>
        <w:t xml:space="preserve"> </w:t>
      </w:r>
      <w:r>
        <w:fldChar w:fldCharType="begin"/>
      </w:r>
      <w:r>
        <w:instrText xml:space="preserve"> ADDIN ZOTERO_ITEM CSL_CITATION {"citationID":"qKyXKINb","properties":{"formattedCitation":"Lemos and Budka, \\uc0\\u8220{}Alternatives to Colonization and Marginal Identities in New Kingdom Colonial Nubia (1550\\uc0\\u8211{}1070 BCE).\\uc0\\u8221{}","plainCitation":"Lemos and Budka, “Alternatives to Colonization and Marginal Identities in New Kingdom Colonial Nubia (1550–1070 BCE).”","noteIndex":9},"citationItems":[{"id":17146,"uris":["http://zotero.org/users/local/tDp9ODyy/items/ZYE2F9EJ"],"itemData":{"id":17146,"type":"article-journal","abstract":"Material culture worked as an essential supporting pillar of the ancient Egyptian colonization of Nubia. During the New Kingdom colonial period (1550–1070 BCE), the material culture of various colonial sites in Nubia consisted of a majority of Egyptian-style objects (including both imported and locally produced objects). Egyptian-style objects materialized foreign presence in local contexts and allowed communities to negotiate identities and positions in a colonial situation. However, far from homogenizing local realities, foreign objects performed different roles in local contexts. This sheds light on the social dimensions of culture contacts in colonial situations and allows us to identify how the local adoption and uses of foreign objects in local contexts produces marginality in the colony.","container-title":"World Archaeology","DOI":"10.1080/00438243.2021.1999853","ISSN":"0043-8243","issue":"3","note":"_eprint: https://doi.org/10.1080/00438243.2021.1999853","page":"401-418","publisher":"Routledge","source":"Taylor and Francis+NEJM","title":"Alternatives to colonization and marginal identities in New Kingdom colonial Nubia (1550–1070 BCE)","volume":"53","author":[{"family":"Lemos","given":"Rennan"},{"family":"Budka","given":"Julia"}],"issued":{"date-parts":[["2021",5,27]]}}}],"schema":"https://github.com/citation-style-language/schema/raw/master/csl-citation.json"} </w:instrText>
      </w:r>
      <w:r>
        <w:fldChar w:fldCharType="separate"/>
      </w:r>
      <w:r w:rsidRPr="00522E5B">
        <w:rPr>
          <w:szCs w:val="24"/>
        </w:rPr>
        <w:t>Lemos and Budka, “Alternatives to Colonization and Marginal Identities in New Kingdom Colonial Nubia (1550–1070 BCE).”</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6435004"/>
      <w:docPartObj>
        <w:docPartGallery w:val="Page Numbers (Top of Page)"/>
        <w:docPartUnique/>
      </w:docPartObj>
    </w:sdtPr>
    <w:sdtEndPr>
      <w:rPr>
        <w:noProof/>
      </w:rPr>
    </w:sdtEndPr>
    <w:sdtContent>
      <w:p w14:paraId="1A12183C" w14:textId="0F074E3F" w:rsidR="005A346B" w:rsidRDefault="005A34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E2A082" w14:textId="77777777" w:rsidR="005A346B" w:rsidRDefault="005A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CB6766"/>
    <w:multiLevelType w:val="hybridMultilevel"/>
    <w:tmpl w:val="03F2C0D0"/>
    <w:lvl w:ilvl="0" w:tplc="9E72EE3A">
      <w:start w:val="1"/>
      <w:numFmt w:val="bullet"/>
      <w:lvlText w:val="●"/>
      <w:lvlJc w:val="left"/>
      <w:pPr>
        <w:ind w:left="720" w:hanging="360"/>
      </w:pPr>
    </w:lvl>
    <w:lvl w:ilvl="1" w:tplc="CF743174">
      <w:start w:val="1"/>
      <w:numFmt w:val="bullet"/>
      <w:lvlText w:val="○"/>
      <w:lvlJc w:val="left"/>
      <w:pPr>
        <w:ind w:left="1440" w:hanging="360"/>
      </w:pPr>
    </w:lvl>
    <w:lvl w:ilvl="2" w:tplc="B810C4B0">
      <w:start w:val="1"/>
      <w:numFmt w:val="bullet"/>
      <w:lvlText w:val="■"/>
      <w:lvlJc w:val="left"/>
      <w:pPr>
        <w:ind w:left="2160" w:hanging="360"/>
      </w:pPr>
    </w:lvl>
    <w:lvl w:ilvl="3" w:tplc="4830D924">
      <w:start w:val="1"/>
      <w:numFmt w:val="bullet"/>
      <w:lvlText w:val="●"/>
      <w:lvlJc w:val="left"/>
      <w:pPr>
        <w:ind w:left="2880" w:hanging="360"/>
      </w:pPr>
    </w:lvl>
    <w:lvl w:ilvl="4" w:tplc="CB24A430">
      <w:start w:val="1"/>
      <w:numFmt w:val="bullet"/>
      <w:lvlText w:val="○"/>
      <w:lvlJc w:val="left"/>
      <w:pPr>
        <w:ind w:left="3600" w:hanging="360"/>
      </w:pPr>
    </w:lvl>
    <w:lvl w:ilvl="5" w:tplc="39B066BE">
      <w:start w:val="1"/>
      <w:numFmt w:val="bullet"/>
      <w:lvlText w:val="■"/>
      <w:lvlJc w:val="left"/>
      <w:pPr>
        <w:ind w:left="4320" w:hanging="360"/>
      </w:pPr>
    </w:lvl>
    <w:lvl w:ilvl="6" w:tplc="FC2CABCC">
      <w:start w:val="1"/>
      <w:numFmt w:val="bullet"/>
      <w:lvlText w:val="●"/>
      <w:lvlJc w:val="left"/>
      <w:pPr>
        <w:ind w:left="5040" w:hanging="360"/>
      </w:pPr>
    </w:lvl>
    <w:lvl w:ilvl="7" w:tplc="29C27502">
      <w:start w:val="1"/>
      <w:numFmt w:val="bullet"/>
      <w:lvlText w:val="●"/>
      <w:lvlJc w:val="left"/>
      <w:pPr>
        <w:ind w:left="5760" w:hanging="360"/>
      </w:pPr>
    </w:lvl>
    <w:lvl w:ilvl="8" w:tplc="287CAA72">
      <w:start w:val="1"/>
      <w:numFmt w:val="bullet"/>
      <w:lvlText w:val="●"/>
      <w:lvlJc w:val="left"/>
      <w:pPr>
        <w:ind w:left="6480" w:hanging="360"/>
      </w:pPr>
    </w:lvl>
  </w:abstractNum>
  <w:num w:numId="1" w16cid:durableId="17723135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3CD"/>
    <w:rsid w:val="00107A92"/>
    <w:rsid w:val="00522E5B"/>
    <w:rsid w:val="00580960"/>
    <w:rsid w:val="005A346B"/>
    <w:rsid w:val="00650324"/>
    <w:rsid w:val="00832C83"/>
    <w:rsid w:val="00B833CD"/>
    <w:rsid w:val="00B956FD"/>
    <w:rsid w:val="00E6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53DD"/>
  <w15:docId w15:val="{6A33F1B7-FFFA-482A-8D05-0858035F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ibliography">
    <w:name w:val="Bibliography"/>
    <w:basedOn w:val="Normal"/>
    <w:next w:val="Normal"/>
    <w:uiPriority w:val="37"/>
    <w:unhideWhenUsed/>
    <w:rsid w:val="00522E5B"/>
    <w:pPr>
      <w:spacing w:after="160" w:line="259" w:lineRule="auto"/>
    </w:pPr>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uiPriority w:val="99"/>
    <w:unhideWhenUsed/>
    <w:rsid w:val="005A346B"/>
    <w:pPr>
      <w:tabs>
        <w:tab w:val="center" w:pos="4680"/>
        <w:tab w:val="right" w:pos="9360"/>
      </w:tabs>
    </w:pPr>
  </w:style>
  <w:style w:type="character" w:customStyle="1" w:styleId="HeaderChar">
    <w:name w:val="Header Char"/>
    <w:basedOn w:val="DefaultParagraphFont"/>
    <w:link w:val="Header"/>
    <w:uiPriority w:val="99"/>
    <w:rsid w:val="005A346B"/>
  </w:style>
  <w:style w:type="paragraph" w:styleId="Footer">
    <w:name w:val="footer"/>
    <w:basedOn w:val="Normal"/>
    <w:link w:val="FooterChar"/>
    <w:uiPriority w:val="99"/>
    <w:unhideWhenUsed/>
    <w:rsid w:val="005A346B"/>
    <w:pPr>
      <w:tabs>
        <w:tab w:val="center" w:pos="4680"/>
        <w:tab w:val="right" w:pos="9360"/>
      </w:tabs>
    </w:pPr>
  </w:style>
  <w:style w:type="character" w:customStyle="1" w:styleId="FooterChar">
    <w:name w:val="Footer Char"/>
    <w:basedOn w:val="DefaultParagraphFont"/>
    <w:link w:val="Footer"/>
    <w:uiPriority w:val="99"/>
    <w:rsid w:val="005A3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4</cp:revision>
  <dcterms:created xsi:type="dcterms:W3CDTF">2026-04-30T01:33:00Z</dcterms:created>
  <dcterms:modified xsi:type="dcterms:W3CDTF">2026-04-30T02:14:00Z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id="sXXOCzdR"/&gt;&lt;style id="http://www.zotero.org/styles/chicago-notes-bibliography" locale="en-US" hasBibliography="1" bibliographyStyleHasBeenSet="0"/&gt;&lt;prefs&gt;&lt;pref name="fieldType" value="Field"/&gt;&lt;pre</vt:lpwstr>
  </property>
  <property fmtid="{D5CDD505-2E9C-101B-9397-08002B2CF9AE}" pid="3" name="ZOTERO_PREF_2">
    <vt:lpwstr>f name="automaticJournalAbbreviations" value="true"/&gt;&lt;pref name="noteType" value="1"/&gt;&lt;/prefs&gt;&lt;/data&gt;</vt:lpwstr>
  </property>
</Properties>
</file>