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p>
    <w:p w14:paraId="73528F93" w14:textId="77777777" w:rsidR="00160883" w:rsidRPr="00193F88" w:rsidRDefault="00160883" w:rsidP="00160883">
      <w:pPr>
        <w:contextualSpacing/>
        <w:jc w:val="center"/>
        <w:rPr>
          <w:rFonts w:ascii="Times New Roman" w:hAnsi="Times New Roman" w:cs="Times New Roman"/>
          <w:b/>
          <w:bCs/>
          <w:sz w:val="24"/>
          <w:szCs w:val="24"/>
        </w:rPr>
      </w:pPr>
      <w:r w:rsidRPr="002876E2">
        <w:rPr>
          <w:rFonts w:ascii="Times New Roman" w:hAnsi="Times New Roman" w:cs="Times New Roman"/>
          <w:b/>
          <w:bCs/>
          <w:sz w:val="24"/>
          <w:szCs w:val="24"/>
        </w:rPr>
        <w:t>Public Health Nursing</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p>
    <w:p w14:paraId="33067BF9" w14:textId="40CCEB74" w:rsidR="00A954C2" w:rsidRPr="00193F88" w:rsidRDefault="00160883" w:rsidP="00193F88">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lastRenderedPageBreak/>
        <w:t xml:space="preserve"> </w:t>
      </w:r>
      <w:r w:rsidRPr="002876E2">
        <w:rPr>
          <w:rFonts w:ascii="Times New Roman" w:hAnsi="Times New Roman" w:cs="Times New Roman"/>
          <w:b/>
          <w:bCs/>
          <w:sz w:val="24"/>
          <w:szCs w:val="24"/>
        </w:rPr>
        <w:t>Public Health Nursing</w:t>
      </w:r>
    </w:p>
    <w:p w14:paraId="67C184BF"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 xml:space="preserve">Public health nursing is a niche profession that changes the health care focus to the whole population instead of the individual. Unlike clinical nursing which usually focuses on the direct needs of a patient in a healthcare facility, public health nursing (PHN) is concerned with prevention, social determinants of health, and interventions on a community-wide level. The shift between the fast-paced, acute setting of Emergency Room (ER) and thinking about the health of the population presents a sharp contrast in priorities, timelines, and outcomes. But a more critical examination reveals that although the setting may be very different, the values of community health are inextricably linked to the survival and </w:t>
      </w:r>
      <w:proofErr w:type="spellStart"/>
      <w:r w:rsidRPr="002876E2">
        <w:rPr>
          <w:rFonts w:ascii="Times New Roman" w:hAnsi="Times New Roman" w:cs="Times New Roman"/>
          <w:sz w:val="24"/>
          <w:szCs w:val="24"/>
        </w:rPr>
        <w:t>well being</w:t>
      </w:r>
      <w:proofErr w:type="spellEnd"/>
      <w:r w:rsidRPr="002876E2">
        <w:rPr>
          <w:rFonts w:ascii="Times New Roman" w:hAnsi="Times New Roman" w:cs="Times New Roman"/>
          <w:sz w:val="24"/>
          <w:szCs w:val="24"/>
        </w:rPr>
        <w:t xml:space="preserve"> of the patients presented in the emergency setting.</w:t>
      </w:r>
    </w:p>
    <w:p w14:paraId="74FF3F07" w14:textId="77777777" w:rsidR="002876E2" w:rsidRPr="00160883" w:rsidRDefault="002876E2" w:rsidP="00160883">
      <w:pPr>
        <w:contextualSpacing/>
        <w:rPr>
          <w:rFonts w:ascii="Times New Roman" w:hAnsi="Times New Roman" w:cs="Times New Roman"/>
          <w:b/>
          <w:bCs/>
          <w:sz w:val="24"/>
          <w:szCs w:val="24"/>
        </w:rPr>
      </w:pPr>
      <w:r w:rsidRPr="00160883">
        <w:rPr>
          <w:rFonts w:ascii="Times New Roman" w:hAnsi="Times New Roman" w:cs="Times New Roman"/>
          <w:b/>
          <w:bCs/>
          <w:sz w:val="24"/>
          <w:szCs w:val="24"/>
        </w:rPr>
        <w:t>Public Health Nursing: What is it?</w:t>
      </w:r>
    </w:p>
    <w:p w14:paraId="54C63AD2" w14:textId="71645E3D" w:rsidR="002876E2" w:rsidRPr="002876E2" w:rsidRDefault="002876E2" w:rsidP="00160883">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Essentially, the practice of enhancing and safeguarding the health of groups of people through knowledge that is based on nursing, social and public health sciences, defines public health nursing. The client of a public health nurse is the community rather than the individual in the trauma bay as is the case in the ER.</w:t>
      </w:r>
    </w:p>
    <w:p w14:paraId="53CB74E9"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Stanhope and Lancaster (2020) maintain that the uniqueness of public health nursing lies in its being population-centered, i.e., it does not focus on the individuals who seek care but on the health needs of a particular group of the population (the elderly, a specific neighborhood or a specific group of people with a certain chronic condition). This practice involves:</w:t>
      </w:r>
    </w:p>
    <w:p w14:paraId="1197EEBF" w14:textId="77777777" w:rsidR="00160883" w:rsidRDefault="002876E2" w:rsidP="00160883">
      <w:pPr>
        <w:contextualSpacing/>
        <w:rPr>
          <w:rFonts w:ascii="Times New Roman" w:hAnsi="Times New Roman" w:cs="Times New Roman"/>
          <w:sz w:val="24"/>
          <w:szCs w:val="24"/>
        </w:rPr>
      </w:pPr>
      <w:r w:rsidRPr="002876E2">
        <w:rPr>
          <w:rFonts w:ascii="Times New Roman" w:hAnsi="Times New Roman" w:cs="Times New Roman"/>
          <w:sz w:val="24"/>
          <w:szCs w:val="24"/>
        </w:rPr>
        <w:t>Evaluation: This is an evaluation of the health of the community.</w:t>
      </w:r>
    </w:p>
    <w:p w14:paraId="5806C74B" w14:textId="7EAEC3BC" w:rsidR="002876E2" w:rsidRPr="002876E2" w:rsidRDefault="002876E2" w:rsidP="00160883">
      <w:pPr>
        <w:contextualSpacing/>
        <w:rPr>
          <w:rFonts w:ascii="Times New Roman" w:hAnsi="Times New Roman" w:cs="Times New Roman"/>
          <w:sz w:val="24"/>
          <w:szCs w:val="24"/>
        </w:rPr>
      </w:pPr>
      <w:r w:rsidRPr="002876E2">
        <w:rPr>
          <w:rFonts w:ascii="Times New Roman" w:hAnsi="Times New Roman" w:cs="Times New Roman"/>
          <w:sz w:val="24"/>
          <w:szCs w:val="24"/>
        </w:rPr>
        <w:t>Policy Development: The formulation of laws and regulations in support of health.</w:t>
      </w:r>
    </w:p>
    <w:p w14:paraId="1F57C212" w14:textId="77777777" w:rsidR="002876E2" w:rsidRPr="002876E2" w:rsidRDefault="002876E2" w:rsidP="00160883">
      <w:pPr>
        <w:contextualSpacing/>
        <w:rPr>
          <w:rFonts w:ascii="Times New Roman" w:hAnsi="Times New Roman" w:cs="Times New Roman"/>
          <w:sz w:val="24"/>
          <w:szCs w:val="24"/>
        </w:rPr>
      </w:pPr>
      <w:r w:rsidRPr="002876E2">
        <w:rPr>
          <w:rFonts w:ascii="Times New Roman" w:hAnsi="Times New Roman" w:cs="Times New Roman"/>
          <w:sz w:val="24"/>
          <w:szCs w:val="24"/>
        </w:rPr>
        <w:t>Assurance: Making sure that there are necessary community-based health services.</w:t>
      </w:r>
    </w:p>
    <w:p w14:paraId="5D32A7E4" w14:textId="197B17A4" w:rsidR="002876E2" w:rsidRPr="000C39A1" w:rsidRDefault="002876E2" w:rsidP="00160883">
      <w:pPr>
        <w:contextualSpacing/>
        <w:rPr>
          <w:rFonts w:ascii="Times New Roman" w:hAnsi="Times New Roman" w:cs="Times New Roman"/>
          <w:b/>
          <w:bCs/>
          <w:sz w:val="24"/>
          <w:szCs w:val="24"/>
        </w:rPr>
      </w:pPr>
      <w:r w:rsidRPr="000C39A1">
        <w:rPr>
          <w:rFonts w:ascii="Times New Roman" w:hAnsi="Times New Roman" w:cs="Times New Roman"/>
          <w:b/>
          <w:bCs/>
          <w:sz w:val="24"/>
          <w:szCs w:val="24"/>
        </w:rPr>
        <w:t>Comparison of Public Health to Emergency Room Setting</w:t>
      </w:r>
    </w:p>
    <w:p w14:paraId="7B5FBB47"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lastRenderedPageBreak/>
        <w:t>The Emergency Room is the "front line" of acute care. It is a crisis setting where stabilization and life-saving procedure is the primary objective. Public health, on the contrary, is proactive. The variations can be further subdivided into three broad categories: Timeframe, Scope, and Success Metrics.</w:t>
      </w:r>
    </w:p>
    <w:p w14:paraId="04DDD644" w14:textId="2246ABF2"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1. Period: Reactive vs. Proactive</w:t>
      </w:r>
    </w:p>
    <w:p w14:paraId="4D71B13D"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The time frame in the ER is calculated in minutes and hours. The objective is to triage, diagnose and treat the immediate threat. In community health, time is quantified in months and years or even generations. Whereas I may be spending 20 minutes stabilizing a patient with diabetic ketoacidosis (DKA) in the ER, a community health nurse spends years on developing community programs to enhance access to affordable insulin and healthy food to keep that DKA episode from happening at all.</w:t>
      </w:r>
    </w:p>
    <w:p w14:paraId="0463FD05" w14:textId="0C3F33B1"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2. Scope: Individual vs. Aggregate</w:t>
      </w:r>
    </w:p>
    <w:p w14:paraId="0AEE4F42" w14:textId="77777777" w:rsidR="002876E2" w:rsidRPr="000C39A1" w:rsidRDefault="002876E2" w:rsidP="002876E2">
      <w:pPr>
        <w:ind w:firstLine="720"/>
        <w:contextualSpacing/>
        <w:rPr>
          <w:rFonts w:ascii="Times New Roman" w:hAnsi="Times New Roman" w:cs="Times New Roman"/>
          <w:b/>
          <w:bCs/>
          <w:sz w:val="24"/>
          <w:szCs w:val="24"/>
        </w:rPr>
      </w:pPr>
      <w:r w:rsidRPr="002876E2">
        <w:rPr>
          <w:rFonts w:ascii="Times New Roman" w:hAnsi="Times New Roman" w:cs="Times New Roman"/>
          <w:sz w:val="24"/>
          <w:szCs w:val="24"/>
        </w:rPr>
        <w:t xml:space="preserve">I am currently in an environment that has person four in bed as my target. I care about their vitals, their laboratories, and their physical comfort in the immediate. Public health nursing considers the aggregate. When I observe five patients in a single shift with complications due to lead poisoning, the public health nurse would look beyond the five patients to the housing infrastructure of the entire zip code to identify the source of the toxic </w:t>
      </w:r>
      <w:r w:rsidRPr="000C39A1">
        <w:rPr>
          <w:rFonts w:ascii="Times New Roman" w:hAnsi="Times New Roman" w:cs="Times New Roman"/>
          <w:sz w:val="24"/>
          <w:szCs w:val="24"/>
        </w:rPr>
        <w:t>in an environmental context.</w:t>
      </w:r>
    </w:p>
    <w:p w14:paraId="443769C9" w14:textId="6FAEB96E"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3. Success Metrics: Survival vs. Prevention</w:t>
      </w:r>
    </w:p>
    <w:p w14:paraId="1CE21DDC"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ER success is either a successful resuscitation or a stable transfer of the patient to the ICU. Public health success is usually invisible one, which is the outbreak that did not occur, the lower percentages of teen pregnancies, or the higher percentages of community vaccinations.</w:t>
      </w:r>
    </w:p>
    <w:p w14:paraId="068D6A9D" w14:textId="1D0CB0A4"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Integration of Public Health in ER Practice</w:t>
      </w:r>
    </w:p>
    <w:p w14:paraId="7A3FB0E5"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lastRenderedPageBreak/>
        <w:t>Regardless of these differences, the principles of public health and community health are constantly implemented in the ER, and these concepts are often not referred to as such. As an ER nurse, I serve as an intermediary between acute crisis and community resources.</w:t>
      </w:r>
    </w:p>
    <w:p w14:paraId="502729C0" w14:textId="0AE14AD7"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Working on Social Determinants of Health (SDOH)</w:t>
      </w:r>
    </w:p>
    <w:p w14:paraId="097992AE"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In the ER, we witness the lack of effectiveness of public health every day. We have what we call frequent flyers- patients who come back and back again to have problems that are not necessarily medical but social in nature. These are homelessness, food insecurity, and deficit of primary care. I am engaging in some kind of community health when I discharge a patient and provide him/her with a list of free clinics or coordinate with a social worker to help him/her find temporary shelter. I am becoming aware that their health is not only an outcome of biology, but of their environment.</w:t>
      </w:r>
    </w:p>
    <w:p w14:paraId="587FE5E0" w14:textId="77777777"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Infectious Disease Surveillance</w:t>
      </w:r>
    </w:p>
    <w:p w14:paraId="3DA2B0AB"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The ER is a crucial sensor to the department of the population health. When we notice a pouring of the flu-like symptoms, or a group of peculiar rashes we report this to the health department. This is the Assessment wing of action of public health. The ER and the public health departments were on a symbiotic loop during the COVID-19 pandemic: they provided the community-wide guidance and vaccination plans to reduce our patient load.</w:t>
      </w:r>
    </w:p>
    <w:p w14:paraId="00F5BB36" w14:textId="0000C39F"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Prevention and Education of Injuries</w:t>
      </w:r>
    </w:p>
    <w:p w14:paraId="6E1BC807" w14:textId="77777777" w:rsidR="002876E2" w:rsidRPr="002876E2"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Micro-level public health intervention: Discharge teaching in the ER. We are trying to avert morbidity and mortality in the community in the future.</w:t>
      </w:r>
    </w:p>
    <w:p w14:paraId="310E5CEC" w14:textId="77777777" w:rsidR="002876E2" w:rsidRPr="000C39A1" w:rsidRDefault="002876E2" w:rsidP="000C39A1">
      <w:pPr>
        <w:contextualSpacing/>
        <w:rPr>
          <w:rFonts w:ascii="Times New Roman" w:hAnsi="Times New Roman" w:cs="Times New Roman"/>
          <w:b/>
          <w:bCs/>
          <w:sz w:val="24"/>
          <w:szCs w:val="24"/>
        </w:rPr>
      </w:pPr>
      <w:r w:rsidRPr="000C39A1">
        <w:rPr>
          <w:rFonts w:ascii="Times New Roman" w:hAnsi="Times New Roman" w:cs="Times New Roman"/>
          <w:b/>
          <w:bCs/>
          <w:sz w:val="24"/>
          <w:szCs w:val="24"/>
        </w:rPr>
        <w:t>Reflective Conclusion</w:t>
      </w:r>
    </w:p>
    <w:p w14:paraId="630F1216" w14:textId="385D5000" w:rsidR="002876E2" w:rsidRPr="002876E2" w:rsidRDefault="002876E2" w:rsidP="000C39A1">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 xml:space="preserve">Thinking about public health nursing has changed my attitude towards the patients I treat in the Emergency Room. The revolving door of the ER can be frustrating but the principles of community health can give us a clue as to why the door is spinning. The majority of patients that I treat have a set of conditions, which are heavily dependent on the </w:t>
      </w:r>
      <w:r w:rsidRPr="002876E2">
        <w:rPr>
          <w:rFonts w:ascii="Times New Roman" w:hAnsi="Times New Roman" w:cs="Times New Roman"/>
          <w:sz w:val="24"/>
          <w:szCs w:val="24"/>
        </w:rPr>
        <w:lastRenderedPageBreak/>
        <w:t>socio-economic status and access to preventative care provided by the community that they live in.</w:t>
      </w:r>
    </w:p>
    <w:p w14:paraId="6FB7EB7D" w14:textId="5435B90C" w:rsidR="00A77FDF" w:rsidRDefault="002876E2" w:rsidP="002876E2">
      <w:pPr>
        <w:ind w:firstLine="720"/>
        <w:contextualSpacing/>
        <w:rPr>
          <w:rFonts w:ascii="Times New Roman" w:hAnsi="Times New Roman" w:cs="Times New Roman"/>
          <w:sz w:val="24"/>
          <w:szCs w:val="24"/>
        </w:rPr>
      </w:pPr>
      <w:r w:rsidRPr="002876E2">
        <w:rPr>
          <w:rFonts w:ascii="Times New Roman" w:hAnsi="Times New Roman" w:cs="Times New Roman"/>
          <w:sz w:val="24"/>
          <w:szCs w:val="24"/>
        </w:rPr>
        <w:t>Although I like working in high-acuity and fast-paced ER, I am aware that my practice is more of a Band-Aid unless it is backed by serious public health efforts. The whole healthcare system depends on the foundation of public health nursing. The ER is overwhelmed without effective community health. With an understanding of the community and the social determinants of health integrated into my practice, I will be able to give more empathetic, holistic care to a patient that looks beyond the immediate crisis to the long-term survival of the patient in his or her environment.</w:t>
      </w:r>
    </w:p>
    <w:p w14:paraId="0D85654D" w14:textId="518BF39E" w:rsidR="008B7B9E" w:rsidRDefault="008B7B9E" w:rsidP="008B7B9E">
      <w:pPr>
        <w:ind w:firstLine="720"/>
        <w:contextualSpacing/>
        <w:rPr>
          <w:rFonts w:ascii="Times New Roman" w:hAnsi="Times New Roman" w:cs="Times New Roman"/>
          <w:sz w:val="24"/>
          <w:szCs w:val="24"/>
        </w:rPr>
      </w:pPr>
    </w:p>
    <w:p w14:paraId="010DDA88" w14:textId="0B8536A0" w:rsidR="008B7B9E" w:rsidRDefault="008B7B9E" w:rsidP="008B7B9E">
      <w:pPr>
        <w:ind w:firstLine="720"/>
        <w:contextualSpacing/>
        <w:rPr>
          <w:rFonts w:ascii="Times New Roman" w:hAnsi="Times New Roman" w:cs="Times New Roman"/>
          <w:sz w:val="24"/>
          <w:szCs w:val="24"/>
        </w:rPr>
      </w:pPr>
    </w:p>
    <w:p w14:paraId="108D59D7" w14:textId="19BC578D" w:rsidR="008B7B9E" w:rsidRDefault="008B7B9E" w:rsidP="008B7B9E">
      <w:pPr>
        <w:ind w:firstLine="720"/>
        <w:contextualSpacing/>
        <w:rPr>
          <w:rFonts w:ascii="Times New Roman" w:hAnsi="Times New Roman" w:cs="Times New Roman"/>
          <w:sz w:val="24"/>
          <w:szCs w:val="24"/>
        </w:rPr>
      </w:pPr>
    </w:p>
    <w:p w14:paraId="69776E29" w14:textId="25CA0A5A" w:rsidR="008B7B9E" w:rsidRDefault="008B7B9E" w:rsidP="008B7B9E">
      <w:pPr>
        <w:ind w:firstLine="720"/>
        <w:contextualSpacing/>
        <w:rPr>
          <w:rFonts w:ascii="Times New Roman" w:hAnsi="Times New Roman" w:cs="Times New Roman"/>
          <w:sz w:val="24"/>
          <w:szCs w:val="24"/>
        </w:rPr>
      </w:pPr>
    </w:p>
    <w:p w14:paraId="52FBEC9F" w14:textId="77777777" w:rsidR="008B7B9E" w:rsidRDefault="008B7B9E" w:rsidP="008B7B9E">
      <w:pPr>
        <w:ind w:firstLine="720"/>
        <w:contextualSpacing/>
        <w:rPr>
          <w:rFonts w:ascii="Times New Roman" w:hAnsi="Times New Roman" w:cs="Times New Roman"/>
          <w:sz w:val="24"/>
          <w:szCs w:val="24"/>
        </w:rPr>
      </w:pPr>
    </w:p>
    <w:p w14:paraId="19B1064C" w14:textId="6ED2F467" w:rsidR="008B7B9E" w:rsidRDefault="008B7B9E" w:rsidP="008B7B9E">
      <w:pPr>
        <w:ind w:firstLine="720"/>
        <w:contextualSpacing/>
        <w:rPr>
          <w:rFonts w:ascii="Times New Roman" w:hAnsi="Times New Roman" w:cs="Times New Roman"/>
          <w:sz w:val="24"/>
          <w:szCs w:val="24"/>
        </w:rPr>
      </w:pPr>
    </w:p>
    <w:p w14:paraId="2DF70A55" w14:textId="79541C8B" w:rsidR="000C39A1" w:rsidRDefault="000C39A1" w:rsidP="008B7B9E">
      <w:pPr>
        <w:ind w:firstLine="720"/>
        <w:contextualSpacing/>
        <w:rPr>
          <w:rFonts w:ascii="Times New Roman" w:hAnsi="Times New Roman" w:cs="Times New Roman"/>
          <w:sz w:val="24"/>
          <w:szCs w:val="24"/>
        </w:rPr>
      </w:pPr>
    </w:p>
    <w:p w14:paraId="2AD7ED25" w14:textId="38B1669B" w:rsidR="000C39A1" w:rsidRDefault="000C39A1" w:rsidP="008B7B9E">
      <w:pPr>
        <w:ind w:firstLine="720"/>
        <w:contextualSpacing/>
        <w:rPr>
          <w:rFonts w:ascii="Times New Roman" w:hAnsi="Times New Roman" w:cs="Times New Roman"/>
          <w:sz w:val="24"/>
          <w:szCs w:val="24"/>
        </w:rPr>
      </w:pPr>
    </w:p>
    <w:p w14:paraId="08BA0AB3" w14:textId="643925F4" w:rsidR="000C39A1" w:rsidRDefault="000C39A1" w:rsidP="008B7B9E">
      <w:pPr>
        <w:ind w:firstLine="720"/>
        <w:contextualSpacing/>
        <w:rPr>
          <w:rFonts w:ascii="Times New Roman" w:hAnsi="Times New Roman" w:cs="Times New Roman"/>
          <w:sz w:val="24"/>
          <w:szCs w:val="24"/>
        </w:rPr>
      </w:pPr>
    </w:p>
    <w:p w14:paraId="7F71F2EE" w14:textId="518186E0" w:rsidR="000C39A1" w:rsidRDefault="000C39A1" w:rsidP="008B7B9E">
      <w:pPr>
        <w:ind w:firstLine="720"/>
        <w:contextualSpacing/>
        <w:rPr>
          <w:rFonts w:ascii="Times New Roman" w:hAnsi="Times New Roman" w:cs="Times New Roman"/>
          <w:sz w:val="24"/>
          <w:szCs w:val="24"/>
        </w:rPr>
      </w:pPr>
    </w:p>
    <w:p w14:paraId="7120274C" w14:textId="79908C56" w:rsidR="000C39A1" w:rsidRDefault="000C39A1" w:rsidP="008B7B9E">
      <w:pPr>
        <w:ind w:firstLine="720"/>
        <w:contextualSpacing/>
        <w:rPr>
          <w:rFonts w:ascii="Times New Roman" w:hAnsi="Times New Roman" w:cs="Times New Roman"/>
          <w:sz w:val="24"/>
          <w:szCs w:val="24"/>
        </w:rPr>
      </w:pPr>
    </w:p>
    <w:p w14:paraId="3964B7A7" w14:textId="67E6579C" w:rsidR="000C39A1" w:rsidRDefault="000C39A1" w:rsidP="008B7B9E">
      <w:pPr>
        <w:ind w:firstLine="720"/>
        <w:contextualSpacing/>
        <w:rPr>
          <w:rFonts w:ascii="Times New Roman" w:hAnsi="Times New Roman" w:cs="Times New Roman"/>
          <w:sz w:val="24"/>
          <w:szCs w:val="24"/>
        </w:rPr>
      </w:pPr>
    </w:p>
    <w:p w14:paraId="0ABBE2A0" w14:textId="64F1DDA1" w:rsidR="000C39A1" w:rsidRDefault="000C39A1" w:rsidP="008B7B9E">
      <w:pPr>
        <w:ind w:firstLine="720"/>
        <w:contextualSpacing/>
        <w:rPr>
          <w:rFonts w:ascii="Times New Roman" w:hAnsi="Times New Roman" w:cs="Times New Roman"/>
          <w:sz w:val="24"/>
          <w:szCs w:val="24"/>
        </w:rPr>
      </w:pPr>
    </w:p>
    <w:p w14:paraId="2DD04A99" w14:textId="2ACA92A5" w:rsidR="000C39A1" w:rsidRDefault="000C39A1" w:rsidP="008B7B9E">
      <w:pPr>
        <w:ind w:firstLine="720"/>
        <w:contextualSpacing/>
        <w:rPr>
          <w:rFonts w:ascii="Times New Roman" w:hAnsi="Times New Roman" w:cs="Times New Roman"/>
          <w:sz w:val="24"/>
          <w:szCs w:val="24"/>
        </w:rPr>
      </w:pPr>
    </w:p>
    <w:p w14:paraId="38688D39" w14:textId="1DFE8FE9" w:rsidR="000C39A1" w:rsidRDefault="000C39A1" w:rsidP="008B7B9E">
      <w:pPr>
        <w:ind w:firstLine="720"/>
        <w:contextualSpacing/>
        <w:rPr>
          <w:rFonts w:ascii="Times New Roman" w:hAnsi="Times New Roman" w:cs="Times New Roman"/>
          <w:sz w:val="24"/>
          <w:szCs w:val="24"/>
        </w:rPr>
      </w:pPr>
    </w:p>
    <w:p w14:paraId="695EAA6E" w14:textId="77777777" w:rsidR="000C39A1" w:rsidRPr="00193F88" w:rsidRDefault="000C39A1" w:rsidP="008B7B9E">
      <w:pPr>
        <w:ind w:firstLine="720"/>
        <w:contextualSpacing/>
        <w:rPr>
          <w:rFonts w:ascii="Times New Roman" w:hAnsi="Times New Roman" w:cs="Times New Roman"/>
          <w:sz w:val="24"/>
          <w:szCs w:val="24"/>
        </w:rPr>
      </w:pP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2E4ADD6D" w:rsidR="007B6058" w:rsidRPr="00193F88" w:rsidRDefault="000C39A1" w:rsidP="00193F88">
      <w:pPr>
        <w:ind w:left="720" w:hanging="720"/>
        <w:contextualSpacing/>
        <w:rPr>
          <w:rFonts w:ascii="Times New Roman" w:hAnsi="Times New Roman" w:cs="Times New Roman"/>
          <w:sz w:val="24"/>
          <w:szCs w:val="24"/>
        </w:rPr>
      </w:pPr>
      <w:r w:rsidRPr="000C39A1">
        <w:rPr>
          <w:rFonts w:ascii="Times New Roman" w:hAnsi="Times New Roman" w:cs="Times New Roman"/>
          <w:sz w:val="24"/>
          <w:szCs w:val="24"/>
        </w:rPr>
        <w:t xml:space="preserve">Stanhope, M., &amp; Lancaster, J. (2020). </w:t>
      </w:r>
      <w:r w:rsidRPr="007C7F6F">
        <w:rPr>
          <w:rFonts w:ascii="Times New Roman" w:hAnsi="Times New Roman" w:cs="Times New Roman"/>
          <w:i/>
          <w:iCs/>
          <w:sz w:val="24"/>
          <w:szCs w:val="24"/>
        </w:rPr>
        <w:t>Public health nursing: Population-centered health care in the community (10th ed.).</w:t>
      </w:r>
      <w:r w:rsidRPr="000C39A1">
        <w:rPr>
          <w:rFonts w:ascii="Times New Roman" w:hAnsi="Times New Roman" w:cs="Times New Roman"/>
          <w:sz w:val="24"/>
          <w:szCs w:val="24"/>
        </w:rPr>
        <w:t xml:space="preserve"> Elsevier.</w:t>
      </w:r>
      <w:bookmarkStart w:id="0" w:name="_GoBack"/>
      <w:bookmarkEnd w:id="0"/>
    </w:p>
    <w:sectPr w:rsidR="007B6058" w:rsidRPr="00193F88">
      <w:headerReference w:type="default" r:id="rId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7EBED3" w16cex:dateUtc="2026-05-04T10: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49721" w14:textId="77777777" w:rsidR="008B54FE" w:rsidRDefault="008B54FE" w:rsidP="00193F88">
      <w:pPr>
        <w:spacing w:line="240" w:lineRule="auto"/>
      </w:pPr>
      <w:r>
        <w:separator/>
      </w:r>
    </w:p>
  </w:endnote>
  <w:endnote w:type="continuationSeparator" w:id="0">
    <w:p w14:paraId="21BEB2EA" w14:textId="77777777" w:rsidR="008B54FE" w:rsidRDefault="008B54FE"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A772" w14:textId="77777777" w:rsidR="008B54FE" w:rsidRDefault="008B54FE" w:rsidP="00193F88">
      <w:pPr>
        <w:spacing w:line="240" w:lineRule="auto"/>
      </w:pPr>
      <w:r>
        <w:separator/>
      </w:r>
    </w:p>
  </w:footnote>
  <w:footnote w:type="continuationSeparator" w:id="0">
    <w:p w14:paraId="5962A281" w14:textId="77777777" w:rsidR="008B54FE" w:rsidRDefault="008B54FE" w:rsidP="0019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004C220F">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C2"/>
    <w:rsid w:val="0000100F"/>
    <w:rsid w:val="00037BB7"/>
    <w:rsid w:val="000405EB"/>
    <w:rsid w:val="000546F2"/>
    <w:rsid w:val="00087C18"/>
    <w:rsid w:val="000C39A1"/>
    <w:rsid w:val="001470AF"/>
    <w:rsid w:val="0015126B"/>
    <w:rsid w:val="00160883"/>
    <w:rsid w:val="0017501E"/>
    <w:rsid w:val="001816FE"/>
    <w:rsid w:val="00193F88"/>
    <w:rsid w:val="001F2ECA"/>
    <w:rsid w:val="0021791F"/>
    <w:rsid w:val="0022396F"/>
    <w:rsid w:val="00241387"/>
    <w:rsid w:val="0025722A"/>
    <w:rsid w:val="002876E2"/>
    <w:rsid w:val="002D2764"/>
    <w:rsid w:val="002F39C0"/>
    <w:rsid w:val="00372CCA"/>
    <w:rsid w:val="003C15DB"/>
    <w:rsid w:val="004101B7"/>
    <w:rsid w:val="0041221B"/>
    <w:rsid w:val="00444859"/>
    <w:rsid w:val="004C220F"/>
    <w:rsid w:val="004E3D6E"/>
    <w:rsid w:val="004F1348"/>
    <w:rsid w:val="00560123"/>
    <w:rsid w:val="00617806"/>
    <w:rsid w:val="006C2E58"/>
    <w:rsid w:val="006F476E"/>
    <w:rsid w:val="00720547"/>
    <w:rsid w:val="0072796B"/>
    <w:rsid w:val="00771979"/>
    <w:rsid w:val="00781D69"/>
    <w:rsid w:val="007A0966"/>
    <w:rsid w:val="007B1C30"/>
    <w:rsid w:val="007B6058"/>
    <w:rsid w:val="007C7F6F"/>
    <w:rsid w:val="008B54FE"/>
    <w:rsid w:val="008B7B9E"/>
    <w:rsid w:val="00973C0B"/>
    <w:rsid w:val="00993C18"/>
    <w:rsid w:val="009B2CEE"/>
    <w:rsid w:val="009E3FBA"/>
    <w:rsid w:val="00A32E49"/>
    <w:rsid w:val="00A77FDF"/>
    <w:rsid w:val="00A954C2"/>
    <w:rsid w:val="00AA0E0E"/>
    <w:rsid w:val="00C84F00"/>
    <w:rsid w:val="00CC43CD"/>
    <w:rsid w:val="00D2164E"/>
    <w:rsid w:val="00D55A79"/>
    <w:rsid w:val="00D82538"/>
    <w:rsid w:val="00DF709C"/>
    <w:rsid w:val="00EB154D"/>
    <w:rsid w:val="00EF2883"/>
    <w:rsid w:val="00F55B8A"/>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customStyle="1" w:styleId="UnresolvedMention1">
    <w:name w:val="Unresolved Mention1"/>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 w:type="paragraph" w:styleId="BalloonText">
    <w:name w:val="Balloon Text"/>
    <w:basedOn w:val="Normal"/>
    <w:link w:val="BalloonTextChar"/>
    <w:uiPriority w:val="99"/>
    <w:semiHidden/>
    <w:unhideWhenUsed/>
    <w:rsid w:val="00CC43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CD"/>
    <w:rPr>
      <w:rFonts w:ascii="Segoe UI" w:hAnsi="Segoe UI" w:cs="Segoe UI"/>
      <w:sz w:val="18"/>
      <w:szCs w:val="18"/>
      <w:lang w:val="en-US"/>
    </w:rPr>
  </w:style>
  <w:style w:type="paragraph" w:styleId="NormalWeb">
    <w:name w:val="Normal (Web)"/>
    <w:basedOn w:val="Normal"/>
    <w:uiPriority w:val="99"/>
    <w:semiHidden/>
    <w:unhideWhenUsed/>
    <w:rsid w:val="004E3D6E"/>
    <w:pPr>
      <w:spacing w:before="100" w:beforeAutospacing="1" w:after="100" w:afterAutospacing="1" w:line="240" w:lineRule="auto"/>
    </w:pPr>
    <w:rPr>
      <w:rFonts w:ascii="Times New Roman" w:eastAsia="Times New Roman" w:hAnsi="Times New Roman" w:cs="Times New Roman"/>
      <w:kern w:val="0"/>
      <w:sz w:val="24"/>
      <w:szCs w:val="24"/>
      <w:lang w:val="en-PK" w:eastAsia="en-P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728395">
      <w:bodyDiv w:val="1"/>
      <w:marLeft w:val="0"/>
      <w:marRight w:val="0"/>
      <w:marTop w:val="0"/>
      <w:marBottom w:val="0"/>
      <w:divBdr>
        <w:top w:val="none" w:sz="0" w:space="0" w:color="auto"/>
        <w:left w:val="none" w:sz="0" w:space="0" w:color="auto"/>
        <w:bottom w:val="none" w:sz="0" w:space="0" w:color="auto"/>
        <w:right w:val="none" w:sz="0" w:space="0" w:color="auto"/>
      </w:divBdr>
    </w:div>
    <w:div w:id="110310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2026-05-05T16:15:00Z</dcterms:created>
  <dcterms:modified xsi:type="dcterms:W3CDTF">2026-05-05T16:27:00Z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