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D62E2D" w:rsidRPr="001161FC" w14:paraId="00000001" w14:textId="77777777">
      <w:pPr>
        <w:spacing w:after="0" w:line="480" w:lineRule="auto"/>
        <w:jc w:val="center"/>
        <w:rPr>
          <w:rFonts w:ascii="Times New Roman" w:eastAsia="Times New Roman" w:hAnsi="Times New Roman" w:cs="Times New Roman"/>
          <w:b/>
          <w:bCs/>
        </w:rPr>
      </w:pPr>
    </w:p>
    <w:p w:rsidR="00D62E2D" w:rsidRPr="001161FC" w14:paraId="00000002" w14:textId="77777777">
      <w:pPr>
        <w:spacing w:after="0" w:line="480" w:lineRule="auto"/>
        <w:jc w:val="center"/>
        <w:rPr>
          <w:rFonts w:ascii="Times New Roman" w:eastAsia="Times New Roman" w:hAnsi="Times New Roman" w:cs="Times New Roman"/>
          <w:b/>
          <w:bCs/>
        </w:rPr>
      </w:pPr>
    </w:p>
    <w:p w:rsidR="00D62E2D" w:rsidRPr="001161FC" w14:paraId="00000003" w14:textId="77777777">
      <w:pPr>
        <w:spacing w:after="0" w:line="480" w:lineRule="auto"/>
        <w:jc w:val="center"/>
        <w:rPr>
          <w:rFonts w:ascii="Times New Roman" w:eastAsia="Times New Roman" w:hAnsi="Times New Roman" w:cs="Times New Roman"/>
          <w:b/>
          <w:bCs/>
        </w:rPr>
      </w:pPr>
    </w:p>
    <w:p w:rsidR="00D62E2D" w:rsidRPr="001161FC" w14:paraId="00000004" w14:textId="77777777">
      <w:pPr>
        <w:spacing w:after="0" w:line="480" w:lineRule="auto"/>
        <w:jc w:val="center"/>
        <w:rPr>
          <w:rFonts w:ascii="Times New Roman" w:eastAsia="Times New Roman" w:hAnsi="Times New Roman" w:cs="Times New Roman"/>
          <w:b/>
          <w:bCs/>
        </w:rPr>
      </w:pPr>
    </w:p>
    <w:p w:rsidR="00D62E2D" w:rsidRPr="001161FC" w14:paraId="00000005" w14:textId="77777777">
      <w:pPr>
        <w:spacing w:after="0" w:line="480" w:lineRule="auto"/>
        <w:jc w:val="center"/>
        <w:rPr>
          <w:rFonts w:ascii="Times New Roman" w:eastAsia="Times New Roman" w:hAnsi="Times New Roman" w:cs="Times New Roman"/>
          <w:b/>
          <w:bCs/>
        </w:rPr>
      </w:pPr>
    </w:p>
    <w:p w:rsidR="00A61303" w:rsidRPr="001161FC" w14:paraId="070956AD" w14:textId="77777777">
      <w:pPr>
        <w:spacing w:after="0" w:line="480" w:lineRule="auto"/>
        <w:jc w:val="center"/>
        <w:rPr>
          <w:rFonts w:ascii="Times New Roman" w:eastAsia="Times New Roman" w:hAnsi="Times New Roman" w:cs="Times New Roman"/>
          <w:b/>
          <w:bCs/>
        </w:rPr>
      </w:pPr>
    </w:p>
    <w:p w:rsidR="00A61303" w:rsidRPr="001161FC" w14:paraId="4AEFEE17" w14:textId="77777777">
      <w:pPr>
        <w:spacing w:after="0" w:line="480" w:lineRule="auto"/>
        <w:jc w:val="center"/>
        <w:rPr>
          <w:rFonts w:ascii="Times New Roman" w:eastAsia="Times New Roman" w:hAnsi="Times New Roman" w:cs="Times New Roman"/>
          <w:b/>
          <w:bCs/>
        </w:rPr>
      </w:pPr>
    </w:p>
    <w:p w:rsidR="00D62E2D" w:rsidRPr="001161FC" w14:paraId="00000006" w14:textId="77777777">
      <w:pPr>
        <w:spacing w:after="0" w:line="480" w:lineRule="auto"/>
        <w:jc w:val="center"/>
        <w:rPr>
          <w:rFonts w:ascii="Times New Roman" w:eastAsia="Times New Roman" w:hAnsi="Times New Roman" w:cs="Times New Roman"/>
          <w:b/>
          <w:bCs/>
        </w:rPr>
      </w:pPr>
      <w:r w:rsidRPr="001161FC">
        <w:rPr>
          <w:rFonts w:ascii="Times New Roman" w:eastAsia="Times New Roman" w:hAnsi="Times New Roman" w:cs="Times New Roman"/>
          <w:b/>
          <w:bCs/>
        </w:rPr>
        <w:t>Research Paper Draft 3</w:t>
      </w:r>
    </w:p>
    <w:p w:rsidR="00A61303" w:rsidRPr="001161FC" w14:paraId="385D0EEC" w14:textId="77777777">
      <w:pPr>
        <w:spacing w:line="480" w:lineRule="auto"/>
        <w:jc w:val="center"/>
        <w:rPr>
          <w:rFonts w:ascii="Times New Roman" w:eastAsia="Times New Roman" w:hAnsi="Times New Roman" w:cs="Times New Roman"/>
        </w:rPr>
      </w:pPr>
    </w:p>
    <w:p w:rsidR="00D62E2D" w:rsidRPr="001161FC" w14:paraId="00000007" w14:textId="303D3D15">
      <w:pPr>
        <w:spacing w:line="480" w:lineRule="auto"/>
        <w:jc w:val="center"/>
        <w:rPr>
          <w:rFonts w:ascii="Times New Roman" w:eastAsia="Times New Roman" w:hAnsi="Times New Roman" w:cs="Times New Roman"/>
        </w:rPr>
      </w:pPr>
      <w:r w:rsidRPr="001161FC">
        <w:rPr>
          <w:rFonts w:ascii="Times New Roman" w:eastAsia="Times New Roman" w:hAnsi="Times New Roman" w:cs="Times New Roman"/>
        </w:rPr>
        <w:t>Brian Mansfield</w:t>
      </w:r>
    </w:p>
    <w:p w:rsidR="00D62E2D" w:rsidRPr="001161FC" w14:paraId="00000008" w14:textId="77777777">
      <w:pPr>
        <w:spacing w:line="480" w:lineRule="auto"/>
        <w:jc w:val="center"/>
        <w:rPr>
          <w:rFonts w:ascii="Times New Roman" w:eastAsia="Times New Roman" w:hAnsi="Times New Roman" w:cs="Times New Roman"/>
        </w:rPr>
      </w:pPr>
      <w:r w:rsidRPr="001161FC">
        <w:rPr>
          <w:rFonts w:ascii="Times New Roman" w:eastAsia="Times New Roman" w:hAnsi="Times New Roman" w:cs="Times New Roman"/>
        </w:rPr>
        <w:t>Oklahoma State University</w:t>
      </w:r>
    </w:p>
    <w:p w:rsidR="00D62E2D" w:rsidRPr="001161FC" w14:paraId="00000009" w14:textId="77777777">
      <w:pPr>
        <w:spacing w:line="480" w:lineRule="auto"/>
        <w:jc w:val="center"/>
        <w:rPr>
          <w:rFonts w:ascii="Times New Roman" w:eastAsia="Times New Roman" w:hAnsi="Times New Roman" w:cs="Times New Roman"/>
        </w:rPr>
      </w:pPr>
      <w:r w:rsidRPr="001161FC">
        <w:rPr>
          <w:rFonts w:ascii="Times New Roman" w:eastAsia="Times New Roman" w:hAnsi="Times New Roman" w:cs="Times New Roman"/>
        </w:rPr>
        <w:t xml:space="preserve">Ethical Research and Scientific Writing </w:t>
      </w:r>
    </w:p>
    <w:p w:rsidR="00D62E2D" w:rsidRPr="001161FC" w14:paraId="0000000A" w14:textId="77777777">
      <w:pPr>
        <w:spacing w:line="480" w:lineRule="auto"/>
        <w:jc w:val="center"/>
        <w:rPr>
          <w:rFonts w:ascii="Times New Roman" w:eastAsia="Times New Roman" w:hAnsi="Times New Roman" w:cs="Times New Roman"/>
        </w:rPr>
      </w:pPr>
      <w:r w:rsidRPr="001161FC">
        <w:rPr>
          <w:rFonts w:ascii="Times New Roman" w:eastAsia="Times New Roman" w:hAnsi="Times New Roman" w:cs="Times New Roman"/>
        </w:rPr>
        <w:t>22 Apr 26</w:t>
      </w:r>
    </w:p>
    <w:p w:rsidR="00D62E2D" w:rsidRPr="001161FC" w14:paraId="0000000B" w14:textId="77777777">
      <w:pPr>
        <w:spacing w:line="259" w:lineRule="auto"/>
        <w:rPr>
          <w:rFonts w:ascii="Times New Roman" w:eastAsia="Times New Roman" w:hAnsi="Times New Roman" w:cs="Times New Roman"/>
        </w:rPr>
      </w:pPr>
    </w:p>
    <w:p w:rsidR="00D62E2D" w:rsidRPr="001161FC" w14:paraId="0000000C" w14:textId="77777777">
      <w:pPr>
        <w:spacing w:line="259" w:lineRule="auto"/>
        <w:rPr>
          <w:rFonts w:ascii="Times New Roman" w:eastAsia="Times New Roman" w:hAnsi="Times New Roman" w:cs="Times New Roman"/>
        </w:rPr>
      </w:pPr>
    </w:p>
    <w:p w:rsidR="00D62E2D" w:rsidRPr="001161FC" w14:paraId="0000000D" w14:textId="77777777">
      <w:pPr>
        <w:spacing w:line="259" w:lineRule="auto"/>
        <w:rPr>
          <w:rFonts w:ascii="Times New Roman" w:eastAsia="Times New Roman" w:hAnsi="Times New Roman" w:cs="Times New Roman"/>
        </w:rPr>
      </w:pPr>
    </w:p>
    <w:p w:rsidR="00D62E2D" w:rsidRPr="001161FC" w14:paraId="0000000E" w14:textId="77777777">
      <w:pPr>
        <w:spacing w:line="259" w:lineRule="auto"/>
        <w:rPr>
          <w:rFonts w:ascii="Times New Roman" w:eastAsia="Times New Roman" w:hAnsi="Times New Roman" w:cs="Times New Roman"/>
        </w:rPr>
      </w:pPr>
    </w:p>
    <w:p w:rsidR="00D62E2D" w:rsidRPr="001161FC" w14:paraId="0000000F" w14:textId="77777777">
      <w:pPr>
        <w:spacing w:line="259" w:lineRule="auto"/>
        <w:rPr>
          <w:rFonts w:ascii="Times New Roman" w:eastAsia="Times New Roman" w:hAnsi="Times New Roman" w:cs="Times New Roman"/>
        </w:rPr>
      </w:pPr>
    </w:p>
    <w:p w:rsidR="00D62E2D" w:rsidRPr="001161FC" w14:paraId="00000010" w14:textId="77777777">
      <w:pPr>
        <w:spacing w:line="259" w:lineRule="auto"/>
        <w:rPr>
          <w:rFonts w:ascii="Times New Roman" w:eastAsia="Times New Roman" w:hAnsi="Times New Roman" w:cs="Times New Roman"/>
        </w:rPr>
      </w:pPr>
    </w:p>
    <w:p w:rsidR="00D62E2D" w:rsidRPr="001161FC" w14:paraId="00000011" w14:textId="77777777">
      <w:pPr>
        <w:spacing w:line="259" w:lineRule="auto"/>
        <w:rPr>
          <w:rFonts w:ascii="Times New Roman" w:eastAsia="Times New Roman" w:hAnsi="Times New Roman" w:cs="Times New Roman"/>
        </w:rPr>
      </w:pPr>
    </w:p>
    <w:p w:rsidR="00D62E2D" w:rsidRPr="001161FC" w14:paraId="00000012" w14:textId="77777777">
      <w:pPr>
        <w:spacing w:line="259" w:lineRule="auto"/>
        <w:rPr>
          <w:rFonts w:ascii="Times New Roman" w:eastAsia="Times New Roman" w:hAnsi="Times New Roman" w:cs="Times New Roman"/>
        </w:rPr>
      </w:pPr>
    </w:p>
    <w:p w:rsidR="00D62E2D" w:rsidRPr="001161FC" w14:paraId="00000013" w14:textId="77777777">
      <w:pPr>
        <w:spacing w:line="259" w:lineRule="auto"/>
        <w:rPr>
          <w:rFonts w:ascii="Times New Roman" w:eastAsia="Times New Roman" w:hAnsi="Times New Roman" w:cs="Times New Roman"/>
        </w:rPr>
      </w:pPr>
    </w:p>
    <w:p w:rsidR="00D62E2D" w:rsidRPr="001161FC" w14:paraId="00000014" w14:textId="77777777">
      <w:pPr>
        <w:spacing w:line="259" w:lineRule="auto"/>
        <w:rPr>
          <w:rFonts w:ascii="Times New Roman" w:eastAsia="Times New Roman" w:hAnsi="Times New Roman" w:cs="Times New Roman"/>
        </w:rPr>
      </w:pPr>
    </w:p>
    <w:p w:rsidR="00D62E2D" w:rsidRPr="001161FC" w14:paraId="00000018" w14:textId="77777777">
      <w:pPr>
        <w:spacing w:after="0" w:line="480" w:lineRule="auto"/>
        <w:rPr>
          <w:rFonts w:ascii="Times New Roman" w:eastAsia="Times New Roman" w:hAnsi="Times New Roman" w:cs="Times New Roman"/>
          <w:b/>
          <w:bCs/>
        </w:rPr>
      </w:pPr>
    </w:p>
    <w:p w:rsidR="00D62E2D" w:rsidRPr="001161FC" w14:paraId="00000019" w14:textId="77777777">
      <w:pPr>
        <w:spacing w:after="0" w:line="480" w:lineRule="auto"/>
        <w:jc w:val="center"/>
        <w:rPr>
          <w:rFonts w:ascii="Times New Roman" w:eastAsia="Times New Roman" w:hAnsi="Times New Roman" w:cs="Times New Roman"/>
          <w:b/>
          <w:bCs/>
        </w:rPr>
      </w:pPr>
      <w:r w:rsidRPr="001161FC">
        <w:rPr>
          <w:rFonts w:ascii="Times New Roman" w:eastAsia="Times New Roman" w:hAnsi="Times New Roman" w:cs="Times New Roman"/>
          <w:b/>
          <w:bCs/>
        </w:rPr>
        <w:t>Draft 3</w:t>
      </w:r>
    </w:p>
    <w:p w:rsidR="00D62E2D" w:rsidRPr="001161FC" w14:paraId="0000001A" w14:textId="5D7BF77A">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rPr>
        <w:t xml:space="preserve">Forensic investigation has reached a crucial crossroads, where the qualitative observations that have long been used have been superseded by strict mathematical modeling. Bloodstain Pattern Analysis (BPA), which previously was based on the subjective “expert eye,” is now becoming a computational science. Although the accuracy of stain measurements is greater than ever, the physical mechanisms underlying drop fall and pattern formation remain complex and have not been properly studied in a multi-variable setting. </w:t>
      </w:r>
      <w:r w:rsidRPr="001161FC" w:rsidR="001161FC">
        <w:rPr>
          <w:rFonts w:ascii="Times New Roman" w:eastAsia="Times New Roman" w:hAnsi="Times New Roman" w:cs="Times New Roman"/>
          <w:highlight w:val="yellow"/>
        </w:rPr>
        <w:t xml:space="preserve">The </w:t>
      </w:r>
      <w:r w:rsidRPr="001161FC" w:rsidR="001161FC">
        <w:rPr>
          <w:rFonts w:ascii="Times New Roman" w:eastAsia="Times New Roman" w:hAnsi="Times New Roman" w:cs="Times New Roman"/>
          <w:highlight w:val="yellow"/>
        </w:rPr>
        <w:t>central</w:t>
      </w:r>
      <w:r w:rsidRPr="001161FC" w:rsidR="001161FC">
        <w:rPr>
          <w:rFonts w:ascii="Times New Roman" w:eastAsia="Times New Roman" w:hAnsi="Times New Roman" w:cs="Times New Roman"/>
          <w:highlight w:val="yellow"/>
        </w:rPr>
        <w:t xml:space="preserve"> question surrounding this gap is how the physical variables that most critically include drop height and blood volume interact to produce the satellite stain distributions that BPA practitioners are currently trying to quantify, using automated tools. In particular, this review discusses the following research query: To what extent does the combined effect of drop height and blood volume influence the morphology and distribution of satellite stains on horizontal surfaces? To explain this, the review expounds how the development of automated BPA, the physical variables that determine the morphology of a stain, requires and relies upon an increased empirical insight into these physical variables</w:t>
      </w:r>
      <w:r w:rsidRPr="001161FC">
        <w:rPr>
          <w:rFonts w:ascii="Times New Roman" w:eastAsia="Times New Roman" w:hAnsi="Times New Roman" w:cs="Times New Roman"/>
          <w:highlight w:val="yellow"/>
        </w:rPr>
        <w:t>.</w:t>
      </w:r>
    </w:p>
    <w:p w:rsidR="00D62E2D" w:rsidRPr="001161FC" w:rsidP="001161FC" w14:paraId="0000001C" w14:textId="77777777">
      <w:pPr>
        <w:spacing w:after="0" w:line="480" w:lineRule="auto"/>
        <w:jc w:val="center"/>
        <w:rPr>
          <w:rFonts w:ascii="Times New Roman" w:eastAsia="Times New Roman" w:hAnsi="Times New Roman" w:cs="Times New Roman"/>
        </w:rPr>
      </w:pPr>
      <w:r w:rsidRPr="001161FC">
        <w:rPr>
          <w:rFonts w:ascii="Times New Roman" w:eastAsia="Times New Roman" w:hAnsi="Times New Roman" w:cs="Times New Roman"/>
          <w:b/>
          <w:bCs/>
        </w:rPr>
        <w:t>The Movement to Objective, Quantitative, and Automated BPA</w:t>
      </w:r>
    </w:p>
    <w:p w:rsidR="00D62E2D" w:rsidRPr="001161FC" w14:paraId="0000001D" w14:textId="13BD054A">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rPr>
        <w:t>BPA is moving away from an experience-based interpretation paradigm to a reproducible data-based information framework — a move that is pertinent directly to understanding how measurable variables such as drop height and volume influence satellite stain outcomes. Traditionally, BPA has relied heavily on qualitative descriptions; however</w:t>
      </w:r>
      <w:r w:rsidRPr="001161FC">
        <w:rPr>
          <w:rFonts w:ascii="Times New Roman" w:eastAsia="Times New Roman" w:hAnsi="Times New Roman" w:cs="Times New Roman"/>
          <w:highlight w:val="yellow"/>
        </w:rPr>
        <w:t xml:space="preserve">, </w:t>
      </w:r>
      <w:r w:rsidRPr="001161FC" w:rsidR="001161FC">
        <w:rPr>
          <w:rFonts w:ascii="Times New Roman" w:eastAsia="Times New Roman" w:hAnsi="Times New Roman" w:cs="Times New Roman"/>
          <w:highlight w:val="yellow"/>
        </w:rPr>
        <w:t xml:space="preserve">Hook et al. (2024) found this use of subjective classification to be a core weakness of the field, expressing the need to have large, well-controlled datasets that can be used to reduce human bias and increase the reproducibility of forensic interpretations. The lack of validated models that can capture </w:t>
      </w:r>
      <w:r w:rsidRPr="001161FC" w:rsidR="001161FC">
        <w:rPr>
          <w:rFonts w:ascii="Times New Roman" w:eastAsia="Times New Roman" w:hAnsi="Times New Roman" w:cs="Times New Roman"/>
          <w:highlight w:val="yellow"/>
        </w:rPr>
        <w:t xml:space="preserve">important pattern features across cases, which they say is the core of the reproducibility crisis in forensic science, is not unique to BPA: </w:t>
      </w:r>
      <w:r w:rsidRPr="001161FC" w:rsidR="001161FC">
        <w:rPr>
          <w:rFonts w:ascii="Times New Roman" w:eastAsia="Times New Roman" w:hAnsi="Times New Roman" w:cs="Times New Roman"/>
          <w:highlight w:val="yellow"/>
        </w:rPr>
        <w:t>Kafadar</w:t>
      </w:r>
      <w:r w:rsidRPr="001161FC" w:rsidR="001161FC">
        <w:rPr>
          <w:rFonts w:ascii="Times New Roman" w:eastAsia="Times New Roman" w:hAnsi="Times New Roman" w:cs="Times New Roman"/>
          <w:highlight w:val="yellow"/>
        </w:rPr>
        <w:t xml:space="preserve"> and </w:t>
      </w:r>
      <w:r w:rsidRPr="001161FC" w:rsidR="001161FC">
        <w:rPr>
          <w:rFonts w:ascii="Times New Roman" w:eastAsia="Times New Roman" w:hAnsi="Times New Roman" w:cs="Times New Roman"/>
          <w:highlight w:val="yellow"/>
        </w:rPr>
        <w:t>Carriquiry</w:t>
      </w:r>
      <w:r w:rsidRPr="001161FC" w:rsidR="001161FC">
        <w:rPr>
          <w:rFonts w:ascii="Times New Roman" w:eastAsia="Times New Roman" w:hAnsi="Times New Roman" w:cs="Times New Roman"/>
          <w:highlight w:val="yellow"/>
        </w:rPr>
        <w:t xml:space="preserve"> (2024) demonstrated that image-based forensic evidence in general suffers from a lack of viable models capable of capturing key pattern features consistently across cases. Among the main causes of this subjectivity is variation in the interpretation of stain characteristics by analysts, including characteristics that can be ascribed to differences in drop height and volume (Hook et al., 2024). To fill this data gap, the dataset of 635 dairy blood drip patterns gathered by Kannan et al. (2025) can be taken as the quantitative basis of automated data processing</w:t>
      </w:r>
      <w:r w:rsidRPr="001161FC">
        <w:rPr>
          <w:rFonts w:ascii="Times New Roman" w:eastAsia="Times New Roman" w:hAnsi="Times New Roman" w:cs="Times New Roman"/>
        </w:rPr>
        <w:t>. Building on such standardized data, Rough et al. (2024) developed automated tools to produce pattern metrics, such as area and circularity, thereby bridging the gap between unprocessed forensic evidence and standardized, measurable output.</w:t>
      </w:r>
    </w:p>
    <w:p w:rsidR="001161FC" w:rsidRPr="001161FC" w:rsidP="001161FC" w14:paraId="6384AEE9" w14:textId="77777777">
      <w:pPr>
        <w:spacing w:after="0" w:line="480" w:lineRule="auto"/>
        <w:ind w:firstLine="720"/>
        <w:rPr>
          <w:rFonts w:ascii="Times New Roman" w:eastAsia="Times New Roman" w:hAnsi="Times New Roman" w:cs="Times New Roman"/>
          <w:highlight w:val="yellow"/>
        </w:rPr>
      </w:pPr>
      <w:r w:rsidRPr="001161FC">
        <w:rPr>
          <w:rFonts w:ascii="Times New Roman" w:eastAsia="Times New Roman" w:hAnsi="Times New Roman" w:cs="Times New Roman"/>
          <w:highlight w:val="yellow"/>
        </w:rPr>
        <w:t>Combined, the mass data collection of Kannan et al. (2025) and the automated generation of metrics of Rough et al. (2024) are pointing in the direction of what may be referred to as the Digital Standardization of BPA: raw forensic evidence converted into a mathematical language, circularity and area being objective, reproducible metrics instead of impressionist ones. This standardization is especially relevant to the current research question, since to isolate the impact of drop height and volume on the distribution of satellite stains, it is precisely the type of quantifiable geometry of stains that these automated frameworks offer (Rough et al., 2024). In their absence, the confounding impacts of analyst subjectivity would prevent them from being able to systematically blame the morphologies of stains on certain physical variables.</w:t>
      </w:r>
    </w:p>
    <w:p w:rsidR="00D62E2D" w:rsidRPr="001161FC" w:rsidP="001161FC" w14:paraId="0000001F" w14:textId="01BD58F7">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highlight w:val="yellow"/>
        </w:rPr>
        <w:t xml:space="preserve">BPA data standardization has also hastened the progress in automated image interpretation. Based on the standardized datasets, Alavi et al. (2026) demonstrated that the quality of inputs and data has a significant influence on the quality of machine learning </w:t>
      </w:r>
      <w:r w:rsidRPr="001161FC">
        <w:rPr>
          <w:rFonts w:ascii="Times New Roman" w:eastAsia="Times New Roman" w:hAnsi="Times New Roman" w:cs="Times New Roman"/>
          <w:highlight w:val="yellow"/>
        </w:rPr>
        <w:t>interpretations</w:t>
      </w:r>
      <w:r w:rsidRPr="001161FC" w:rsidR="00000000">
        <w:rPr>
          <w:rFonts w:ascii="Times New Roman" w:eastAsia="Times New Roman" w:hAnsi="Times New Roman" w:cs="Times New Roman"/>
        </w:rPr>
        <w:t xml:space="preserve">. On the same note, </w:t>
      </w:r>
      <w:r w:rsidRPr="001161FC" w:rsidR="00000000">
        <w:rPr>
          <w:rFonts w:ascii="Times New Roman" w:eastAsia="Times New Roman" w:hAnsi="Times New Roman" w:cs="Times New Roman"/>
        </w:rPr>
        <w:t>Pachong</w:t>
      </w:r>
      <w:r w:rsidRPr="001161FC" w:rsidR="00000000">
        <w:rPr>
          <w:rFonts w:ascii="Times New Roman" w:eastAsia="Times New Roman" w:hAnsi="Times New Roman" w:cs="Times New Roman"/>
        </w:rPr>
        <w:t xml:space="preserve"> et al. (2026) applied unsupervised machine learning to detect drip characteristics and identified sophisticated patterns that are largely imperceptible to the human eye. Importantly, however, while these tools can measure and categorize patterns with precision, they cannot on their own explain why those patterns form — that explanation requires an understanding of the underlying physical determinants. These developments in automated computation furnish powerful means of measurement, but even Alavi et al. (2026) and </w:t>
      </w:r>
      <w:r w:rsidRPr="001161FC" w:rsidR="00000000">
        <w:rPr>
          <w:rFonts w:ascii="Times New Roman" w:eastAsia="Times New Roman" w:hAnsi="Times New Roman" w:cs="Times New Roman"/>
        </w:rPr>
        <w:t>Pachong</w:t>
      </w:r>
      <w:r w:rsidRPr="001161FC" w:rsidR="00000000">
        <w:rPr>
          <w:rFonts w:ascii="Times New Roman" w:eastAsia="Times New Roman" w:hAnsi="Times New Roman" w:cs="Times New Roman"/>
        </w:rPr>
        <w:t xml:space="preserve"> et al. (2026) acknowledge that digital interpretation is only as reliable as the physical understanding on which it rests. This points toward a necessary shift from digital analysis tools to the physical determinants of blood behavior itself — specifically, how height and volume jointly govern stain outcomes.</w:t>
      </w:r>
    </w:p>
    <w:p w:rsidR="00D62E2D" w:rsidRPr="001161FC" w:rsidP="001161FC" w14:paraId="00000021" w14:textId="77777777">
      <w:pPr>
        <w:spacing w:after="0" w:line="480" w:lineRule="auto"/>
        <w:jc w:val="center"/>
        <w:rPr>
          <w:rFonts w:ascii="Times New Roman" w:eastAsia="Times New Roman" w:hAnsi="Times New Roman" w:cs="Times New Roman"/>
        </w:rPr>
      </w:pPr>
      <w:r w:rsidRPr="001161FC">
        <w:rPr>
          <w:rFonts w:ascii="Times New Roman" w:eastAsia="Times New Roman" w:hAnsi="Times New Roman" w:cs="Times New Roman"/>
          <w:b/>
          <w:bCs/>
        </w:rPr>
        <w:t>Determinants of Stain Morphology</w:t>
      </w:r>
    </w:p>
    <w:p w:rsidR="001161FC" w:rsidRPr="001161FC" w:rsidP="001161FC" w14:paraId="15E507D7" w14:textId="77777777">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rPr>
        <w:t>Automated tools provide measurement, but fluid dynamics governs what is being measured.</w:t>
      </w:r>
      <w:r w:rsidRPr="001161FC" w:rsidR="00CA2212">
        <w:rPr>
          <w:rFonts w:ascii="Times New Roman" w:eastAsia="Times New Roman" w:hAnsi="Times New Roman" w:cs="Times New Roman"/>
        </w:rPr>
        <w:t xml:space="preserve"> </w:t>
      </w:r>
      <w:r w:rsidRPr="001161FC">
        <w:rPr>
          <w:rFonts w:ascii="Times New Roman" w:eastAsia="Times New Roman" w:hAnsi="Times New Roman" w:cs="Times New Roman"/>
          <w:highlight w:val="cyan"/>
        </w:rPr>
        <w:t>At the simplest, the hydrodynamic behavior of a falling blood droplet, including its spreading, retraction, and oscillation following its impact, is governed by the interaction between impact velocity and surface wettability. Xiang et al. (2023) showed that the size and morphology of dried bloodstains depend not only on the impact velocity but also on the wettability of the surfaces with which the bloodstains in question come into contact during the impact process. Importantly, their work introduced the idea that the ultimate dried stain size contains information about complicated physical history that cannot be reinstated by simple measurement, in other words, that stain geometry carries information about complex physical history</w:t>
      </w:r>
      <w:r w:rsidRPr="001161FC" w:rsidR="00CA2212">
        <w:rPr>
          <w:rFonts w:ascii="Times New Roman" w:eastAsia="Times New Roman" w:hAnsi="Times New Roman" w:cs="Times New Roman"/>
        </w:rPr>
        <w:t>.</w:t>
      </w:r>
      <w:r w:rsidRPr="001161FC">
        <w:rPr>
          <w:rFonts w:ascii="Times New Roman" w:eastAsia="Times New Roman" w:hAnsi="Times New Roman" w:cs="Times New Roman"/>
        </w:rPr>
        <w:t xml:space="preserve"> The findings of Rajkumari (2024) show that the mass and frequency of satellite stains vary significantly with surface texture, even though some predictable structures are identifiable. This is more complicated on porous surfaces; </w:t>
      </w:r>
      <w:r w:rsidRPr="001161FC">
        <w:rPr>
          <w:rFonts w:ascii="Times New Roman" w:eastAsia="Times New Roman" w:hAnsi="Times New Roman" w:cs="Times New Roman"/>
        </w:rPr>
        <w:t>Büyükatak</w:t>
      </w:r>
      <w:r w:rsidRPr="001161FC">
        <w:rPr>
          <w:rFonts w:ascii="Times New Roman" w:eastAsia="Times New Roman" w:hAnsi="Times New Roman" w:cs="Times New Roman"/>
        </w:rPr>
        <w:t xml:space="preserve"> et al. (2026) found that parent stains can be </w:t>
      </w:r>
      <w:r w:rsidRPr="001161FC">
        <w:rPr>
          <w:rFonts w:ascii="Times New Roman" w:eastAsia="Times New Roman" w:hAnsi="Times New Roman" w:cs="Times New Roman"/>
        </w:rPr>
        <w:t xml:space="preserve">deformed to the point that height or volume could no longer be clearly distinguished, even under controlled environmental conditions. </w:t>
      </w:r>
      <w:r w:rsidRPr="001161FC">
        <w:rPr>
          <w:rFonts w:ascii="Times New Roman" w:eastAsia="Times New Roman" w:hAnsi="Times New Roman" w:cs="Times New Roman"/>
        </w:rPr>
        <w:t xml:space="preserve">The surface-induced variability described directly by the reliability of automated BPA systems: the circularity and area metrics generated by algorithms like the one that Rough et al. (2024) described have the potential to give erroneous results unless the surface-induced distortions described by </w:t>
      </w:r>
      <w:r w:rsidRPr="001161FC">
        <w:rPr>
          <w:rFonts w:ascii="Times New Roman" w:eastAsia="Times New Roman" w:hAnsi="Times New Roman" w:cs="Times New Roman"/>
        </w:rPr>
        <w:t>Buyuktak</w:t>
      </w:r>
      <w:r w:rsidRPr="001161FC">
        <w:rPr>
          <w:rFonts w:ascii="Times New Roman" w:eastAsia="Times New Roman" w:hAnsi="Times New Roman" w:cs="Times New Roman"/>
        </w:rPr>
        <w:t xml:space="preserve"> et al. (2026) are first factored in. That is, the fact that automated interpretation relies on a correct physical model of how the surface texture varies the stain signals that algorithms are trained to detect.</w:t>
      </w:r>
    </w:p>
    <w:p w:rsidR="00D62E2D" w:rsidRPr="001161FC" w:rsidP="001161FC" w14:paraId="00000023" w14:textId="24A78B90">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rPr>
        <w:t xml:space="preserve">The wider implication of these results is that surface conditions cannot be described by surface conditions as an effect on drop height and volume to give the final stain pattern. </w:t>
      </w:r>
      <w:r w:rsidRPr="001161FC">
        <w:rPr>
          <w:rFonts w:ascii="Times New Roman" w:eastAsia="Times New Roman" w:hAnsi="Times New Roman" w:cs="Times New Roman"/>
        </w:rPr>
        <w:t>Joton</w:t>
      </w:r>
      <w:r w:rsidRPr="001161FC">
        <w:rPr>
          <w:rFonts w:ascii="Times New Roman" w:eastAsia="Times New Roman" w:hAnsi="Times New Roman" w:cs="Times New Roman"/>
        </w:rPr>
        <w:t xml:space="preserve"> et al. (2026) studied passive morphology of bloodstains directly through experimental work, examining the morphology of passive </w:t>
      </w:r>
      <w:r w:rsidRPr="001161FC">
        <w:rPr>
          <w:rFonts w:ascii="Times New Roman" w:eastAsia="Times New Roman" w:hAnsi="Times New Roman" w:cs="Times New Roman"/>
        </w:rPr>
        <w:t>backstains</w:t>
      </w:r>
      <w:r w:rsidRPr="001161FC">
        <w:rPr>
          <w:rFonts w:ascii="Times New Roman" w:eastAsia="Times New Roman" w:hAnsi="Times New Roman" w:cs="Times New Roman"/>
        </w:rPr>
        <w:t xml:space="preserve"> on different substrates, as well as the morphology of passive </w:t>
      </w:r>
      <w:r w:rsidRPr="001161FC">
        <w:rPr>
          <w:rFonts w:ascii="Times New Roman" w:eastAsia="Times New Roman" w:hAnsi="Times New Roman" w:cs="Times New Roman"/>
        </w:rPr>
        <w:t>backstains</w:t>
      </w:r>
      <w:r w:rsidRPr="001161FC">
        <w:rPr>
          <w:rFonts w:ascii="Times New Roman" w:eastAsia="Times New Roman" w:hAnsi="Times New Roman" w:cs="Times New Roman"/>
        </w:rPr>
        <w:t xml:space="preserve"> on various substrates and the morphology of passive </w:t>
      </w:r>
      <w:r w:rsidRPr="001161FC">
        <w:rPr>
          <w:rFonts w:ascii="Times New Roman" w:eastAsia="Times New Roman" w:hAnsi="Times New Roman" w:cs="Times New Roman"/>
        </w:rPr>
        <w:t>dropstains</w:t>
      </w:r>
      <w:r w:rsidRPr="001161FC">
        <w:rPr>
          <w:rFonts w:ascii="Times New Roman" w:eastAsia="Times New Roman" w:hAnsi="Times New Roman" w:cs="Times New Roman"/>
        </w:rPr>
        <w:t xml:space="preserve"> on diverse substrates under controlled laboratory conditions, followed by the application of deep learning models to categorize the resulting morphology. Their </w:t>
      </w:r>
      <w:r w:rsidRPr="001161FC">
        <w:rPr>
          <w:rFonts w:ascii="Times New Roman" w:eastAsia="Times New Roman" w:hAnsi="Times New Roman" w:cs="Times New Roman"/>
        </w:rPr>
        <w:t>MobileNet</w:t>
      </w:r>
      <w:r w:rsidRPr="001161FC">
        <w:rPr>
          <w:rFonts w:ascii="Times New Roman" w:eastAsia="Times New Roman" w:hAnsi="Times New Roman" w:cs="Times New Roman"/>
        </w:rPr>
        <w:t xml:space="preserve">-based classifier reliably differentiated stains that formed on dissimilar substrates when using different heights; they further found that different substrate types produced distinct stains and satellites in the same size range; and as they extended the size range, they discovered that different substrate types formed different-sized stains and satellites. Surface interfaces have added an extra degree of complexity that cannot be effectively addressed using automated metrics alone. To isolate the effect of height and volume on the satellite stain morphology, the experimental conditions will carefully control the surface properties to give reliable input data on which the machine learning frameworks of Alavi et al. (2026) and </w:t>
      </w:r>
      <w:r w:rsidRPr="001161FC">
        <w:rPr>
          <w:rFonts w:ascii="Times New Roman" w:eastAsia="Times New Roman" w:hAnsi="Times New Roman" w:cs="Times New Roman"/>
        </w:rPr>
        <w:t>Pachong</w:t>
      </w:r>
      <w:r w:rsidRPr="001161FC">
        <w:rPr>
          <w:rFonts w:ascii="Times New Roman" w:eastAsia="Times New Roman" w:hAnsi="Times New Roman" w:cs="Times New Roman"/>
        </w:rPr>
        <w:t xml:space="preserve"> et al. (2026) will be trained and validated. In the </w:t>
      </w:r>
      <w:r w:rsidRPr="001161FC">
        <w:rPr>
          <w:rFonts w:ascii="Times New Roman" w:eastAsia="Times New Roman" w:hAnsi="Times New Roman" w:cs="Times New Roman"/>
        </w:rPr>
        <w:t>absence of such controls, even the very standardization that allows automated BPA to be a possibility turns into a source of systematic error.</w:t>
      </w:r>
    </w:p>
    <w:p w:rsidR="00D62E2D" w:rsidRPr="001161FC" w:rsidP="001161FC" w14:paraId="00000024" w14:textId="77777777">
      <w:pPr>
        <w:spacing w:after="0" w:line="480" w:lineRule="auto"/>
        <w:jc w:val="center"/>
        <w:rPr>
          <w:rFonts w:ascii="Times New Roman" w:eastAsia="Times New Roman" w:hAnsi="Times New Roman" w:cs="Times New Roman"/>
          <w:b/>
          <w:bCs/>
        </w:rPr>
      </w:pPr>
      <w:r w:rsidRPr="001161FC">
        <w:rPr>
          <w:rFonts w:ascii="Times New Roman" w:eastAsia="Times New Roman" w:hAnsi="Times New Roman" w:cs="Times New Roman"/>
          <w:b/>
          <w:bCs/>
        </w:rPr>
        <w:t>The Multi-Variable Gap: Height and Volume in Combination</w:t>
      </w:r>
    </w:p>
    <w:p w:rsidR="00D62E2D" w:rsidRPr="001161FC" w14:paraId="00000025" w14:textId="174563F5">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highlight w:val="yellow"/>
        </w:rPr>
        <w:t>Although automated tools get more complex, they will only become as reliable as the empirical knowledge that they are encoded with. The major limitation of the present forensic literature is that little research on the integration effects of the physical predictors, especially drop height and volume in combination, has been done. Previous literature is rather categorical that the field does not provide objective, mechanistic explanations of the distribution of satellite stains. Since automated interpretation systems rely on familiarity with and categorization of physical patterns, this lack of mechanistic knowledge is directly matched by a lack of reliability of automated BPA itself. A set of algorithmic variants will fail to proportion a stain distribution that occurs due to a different combination of the height and volume variables - sabotaging exactly the objectivity that computational forensics claims to be delivering</w:t>
      </w:r>
      <w:r w:rsidRPr="001161FC" w:rsidR="00000000">
        <w:rPr>
          <w:rFonts w:ascii="Times New Roman" w:eastAsia="Times New Roman" w:hAnsi="Times New Roman" w:cs="Times New Roman"/>
          <w:highlight w:val="yellow"/>
        </w:rPr>
        <w:t>.</w:t>
      </w:r>
    </w:p>
    <w:p w:rsidR="00D62E2D" w:rsidRPr="001161FC" w14:paraId="00000026" w14:textId="426DBB93">
      <w:pPr>
        <w:spacing w:after="0" w:line="480" w:lineRule="auto"/>
        <w:ind w:firstLine="720"/>
        <w:rPr>
          <w:rFonts w:ascii="Times New Roman" w:eastAsia="Times New Roman" w:hAnsi="Times New Roman" w:cs="Times New Roman"/>
        </w:rPr>
      </w:pPr>
      <w:r w:rsidRPr="001161FC">
        <w:rPr>
          <w:rFonts w:ascii="Times New Roman" w:eastAsia="Times New Roman" w:hAnsi="Times New Roman" w:cs="Times New Roman"/>
        </w:rPr>
        <w:t>In forensic reality, height and volume are not independent. The gravitational potential energy (v = √2gh) acting on the falling mass is dependent on drop height, and the forces at impact on the surface are dependent on the volume</w:t>
      </w:r>
      <w:r w:rsidRPr="001161FC" w:rsidR="00CA2212">
        <w:rPr>
          <w:rFonts w:ascii="Times New Roman" w:eastAsia="Times New Roman" w:hAnsi="Times New Roman" w:cs="Times New Roman"/>
        </w:rPr>
        <w:t xml:space="preserve"> (</w:t>
      </w:r>
      <w:r w:rsidRPr="001161FC" w:rsidR="00CA2212">
        <w:rPr>
          <w:rFonts w:ascii="Times New Roman" w:eastAsia="Times New Roman" w:hAnsi="Times New Roman" w:cs="Times New Roman"/>
          <w:highlight w:val="yellow"/>
        </w:rPr>
        <w:t>Rajkumari, 2024</w:t>
      </w:r>
      <w:r w:rsidRPr="001161FC" w:rsidR="00CA2212">
        <w:rPr>
          <w:rFonts w:ascii="Times New Roman" w:eastAsia="Times New Roman" w:hAnsi="Times New Roman" w:cs="Times New Roman"/>
        </w:rPr>
        <w:t>)</w:t>
      </w:r>
      <w:r w:rsidRPr="001161FC">
        <w:rPr>
          <w:rFonts w:ascii="Times New Roman" w:eastAsia="Times New Roman" w:hAnsi="Times New Roman" w:cs="Times New Roman"/>
        </w:rPr>
        <w:t>. These forces pull together at the time of rupture of the parent stain into satellite spatter (</w:t>
      </w:r>
      <w:r w:rsidRPr="001161FC">
        <w:rPr>
          <w:rFonts w:ascii="Times New Roman" w:eastAsia="Times New Roman" w:hAnsi="Times New Roman" w:cs="Times New Roman"/>
          <w:highlight w:val="yellow"/>
        </w:rPr>
        <w:t>Rough et al., 2024</w:t>
      </w:r>
      <w:r w:rsidRPr="001161FC">
        <w:rPr>
          <w:rFonts w:ascii="Times New Roman" w:eastAsia="Times New Roman" w:hAnsi="Times New Roman" w:cs="Times New Roman"/>
        </w:rPr>
        <w:t>). Investigators cannot, without studying them jointly, be sure to distinguish between cases in which a small volume falls from a great height and cases in which a large volume falls from a short height; in both cases, the distributions of satellites may be deceptively similar.</w:t>
      </w:r>
    </w:p>
    <w:p w:rsidR="00D62E2D" w:rsidRPr="001161FC" w14:paraId="00000027" w14:textId="16A6A675">
      <w:pPr>
        <w:spacing w:after="0" w:line="480" w:lineRule="auto"/>
        <w:ind w:firstLine="720"/>
        <w:rPr>
          <w:rFonts w:ascii="Times New Roman" w:eastAsia="Times New Roman" w:hAnsi="Times New Roman" w:cs="Times New Roman"/>
          <w:highlight w:val="cyan"/>
        </w:rPr>
      </w:pPr>
      <w:r w:rsidRPr="001161FC">
        <w:rPr>
          <w:rFonts w:ascii="Times New Roman" w:eastAsia="Times New Roman" w:hAnsi="Times New Roman" w:cs="Times New Roman"/>
          <w:highlight w:val="cyan"/>
        </w:rPr>
        <w:t>The lack of a controlled, empirically proven model that simultaneously controls the drop height and blood volume is the real gap in the available forensic literature. Measuring the density of satellites (Rough et al., 2024) and isolating pattern features (</w:t>
      </w:r>
      <w:r w:rsidRPr="001161FC">
        <w:rPr>
          <w:rFonts w:ascii="Times New Roman" w:eastAsia="Times New Roman" w:hAnsi="Times New Roman" w:cs="Times New Roman"/>
          <w:highlight w:val="cyan"/>
        </w:rPr>
        <w:t>Pachong</w:t>
      </w:r>
      <w:r w:rsidRPr="001161FC">
        <w:rPr>
          <w:rFonts w:ascii="Times New Roman" w:eastAsia="Times New Roman" w:hAnsi="Times New Roman" w:cs="Times New Roman"/>
          <w:highlight w:val="cyan"/>
        </w:rPr>
        <w:t xml:space="preserve"> et al., 2026) are already </w:t>
      </w:r>
      <w:r w:rsidRPr="001161FC">
        <w:rPr>
          <w:rFonts w:ascii="Times New Roman" w:eastAsia="Times New Roman" w:hAnsi="Times New Roman" w:cs="Times New Roman"/>
          <w:highlight w:val="cyan"/>
        </w:rPr>
        <w:t xml:space="preserve">at their disposal. What it lacks is an empirical physical map on which such tools would be based: some </w:t>
      </w:r>
      <w:r w:rsidRPr="001161FC">
        <w:rPr>
          <w:rFonts w:ascii="Times New Roman" w:eastAsia="Times New Roman" w:hAnsi="Times New Roman" w:cs="Times New Roman"/>
          <w:highlight w:val="cyan"/>
        </w:rPr>
        <w:t>kind of controlled dataset where height and volume are actively varied, and the combined effect of the two affecting satellite morphology is measured. Without it, automated BPA systems do not have the ground-truth reference data to differentiate between confounded patterns and genuinely different events and make forensic testimony vulnerable to adversarial challenge and diminish the evidentiary usefulness of computationally generated interpretations (Hook et al., 2024). Filling this gap is the driving purpose of the present research</w:t>
      </w:r>
      <w:r w:rsidRPr="001161FC" w:rsidR="00000000">
        <w:rPr>
          <w:rFonts w:ascii="Times New Roman" w:eastAsia="Times New Roman" w:hAnsi="Times New Roman" w:cs="Times New Roman"/>
          <w:highlight w:val="cyan"/>
        </w:rPr>
        <w:t>.</w:t>
      </w:r>
    </w:p>
    <w:p w:rsidR="00D62E2D" w:rsidRPr="001161FC" w:rsidP="001161FC" w14:paraId="00000050" w14:textId="77777777">
      <w:pPr>
        <w:spacing w:after="0" w:line="480" w:lineRule="auto"/>
        <w:jc w:val="center"/>
        <w:rPr>
          <w:rFonts w:ascii="Times New Roman" w:eastAsia="Times New Roman" w:hAnsi="Times New Roman" w:cs="Times New Roman"/>
          <w:b/>
          <w:bCs/>
          <w:highlight w:val="cyan"/>
        </w:rPr>
      </w:pPr>
      <w:r w:rsidRPr="001161FC">
        <w:rPr>
          <w:rFonts w:ascii="Times New Roman" w:eastAsia="Times New Roman" w:hAnsi="Times New Roman" w:cs="Times New Roman"/>
          <w:b/>
          <w:bCs/>
          <w:highlight w:val="cyan"/>
        </w:rPr>
        <w:t>Conclusion</w:t>
      </w:r>
    </w:p>
    <w:p w:rsidR="00D62E2D" w:rsidRPr="001161FC" w14:paraId="00000051" w14:textId="6C5A4B82">
      <w:pPr>
        <w:spacing w:after="0" w:line="480" w:lineRule="auto"/>
        <w:ind w:firstLine="720"/>
        <w:rPr>
          <w:rFonts w:ascii="Times New Roman" w:eastAsia="Times New Roman" w:hAnsi="Times New Roman" w:cs="Times New Roman"/>
          <w:highlight w:val="cyan"/>
        </w:rPr>
      </w:pPr>
      <w:r w:rsidRPr="001161FC">
        <w:rPr>
          <w:rFonts w:ascii="Times New Roman" w:eastAsia="Times New Roman" w:hAnsi="Times New Roman" w:cs="Times New Roman"/>
          <w:highlight w:val="cyan"/>
        </w:rPr>
        <w:t>This movement of BPA towards computational objectivity is not only already underway, but it is also conditional upon a base of physical knowledge that is yet to be completely established. As this review has demonstrated, the shift toward the digital standardization of the process of pattern measurement through massive datasets and automated metrics on stain measurements, combined with a computer-generated pattern classification model, has created effective tools to measure patterns with large datasets of data, automated measures of patterns on a stain measurement, and machine learning classification frameworks. Nonetheless, the ability to obtain meaningful, reproducible inferences about forensic images, however, critically depends on the validity of the underlying feature models, where BPA has not as yet succeeded in attaining such validity, in the case of integrated effects of physical variables. These tools are implemented at the physical level, which is not completely comprehended. The noise of surface texture complicates the fact that even height and volume cues, which the automated systems are supposed to detect, are rendered indistinguishable by the noise of surface texture. Further investigation into the fluid dynamics of droplets of blood impact has shown that the dependence of the morphology of the final stain on the impact conditions is a non-linear and surface-</w:t>
      </w:r>
      <w:r w:rsidRPr="001161FC">
        <w:rPr>
          <w:rFonts w:ascii="Times New Roman" w:eastAsia="Times New Roman" w:hAnsi="Times New Roman" w:cs="Times New Roman"/>
          <w:highlight w:val="cyan"/>
        </w:rPr>
        <w:t>dependent dependence. There is experimental evidence that drop height does imprint a detectable morphological signature on which deep learning models can be trained to classify; however, interactions between substrates complicate the clean extraction of height-specific responses. More importantly, the relationship between drop height and blood volume, the key factors that can be most easily controlled as part of a forensic reconstruction, is not studied in combination. Science does not yet provide objective and mechanistic explanations of the distribution of satellite stains, and automated systems have no solid physical point of reference. A controlled empirical study that would simultaneously vary both drop height and volume would not only help fill this gap in the physical literature but would also directly enhance the performance and interpretability of the automated BPA systems that have increasingly become a more relied-upon tool by the forensic community. In this respect, making progress in physics is not independent of making progress in technology, as it is an antecedent to it.</w:t>
      </w:r>
    </w:p>
    <w:p w:rsidR="00D62E2D" w:rsidRPr="001161FC" w14:paraId="00000028" w14:textId="77777777">
      <w:pPr>
        <w:spacing w:line="259" w:lineRule="auto"/>
        <w:rPr>
          <w:rFonts w:ascii="Times New Roman" w:eastAsia="Times New Roman" w:hAnsi="Times New Roman" w:cs="Times New Roman"/>
          <w:b/>
          <w:bCs/>
        </w:rPr>
      </w:pPr>
      <w:r w:rsidRPr="001161FC">
        <w:rPr>
          <w:rFonts w:ascii="Times New Roman" w:hAnsi="Times New Roman" w:cs="Times New Roman"/>
        </w:rPr>
        <w:br w:type="page"/>
      </w:r>
    </w:p>
    <w:p w:rsidR="00D62E2D" w:rsidRPr="001161FC" w14:paraId="00000029" w14:textId="77777777">
      <w:pPr>
        <w:spacing w:line="480" w:lineRule="auto"/>
        <w:ind w:firstLine="720"/>
        <w:jc w:val="center"/>
        <w:rPr>
          <w:rFonts w:ascii="Times New Roman" w:eastAsia="Times New Roman" w:hAnsi="Times New Roman" w:cs="Times New Roman"/>
          <w:b/>
          <w:bCs/>
        </w:rPr>
      </w:pPr>
      <w:r w:rsidRPr="001161FC">
        <w:rPr>
          <w:rFonts w:ascii="Times New Roman" w:eastAsia="Times New Roman" w:hAnsi="Times New Roman" w:cs="Times New Roman"/>
          <w:b/>
          <w:bCs/>
        </w:rPr>
        <w:t>References</w:t>
      </w:r>
    </w:p>
    <w:p w:rsidR="001161FC" w:rsidRPr="001161FC" w:rsidP="001161FC" w14:paraId="4521966F" w14:textId="77777777">
      <w:pPr>
        <w:spacing w:before="160"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 xml:space="preserve">Alavi, A., Stotesbury, T., &amp; Lewis, P. R. (2026). Technical note: The impact of image size on bloodstain pattern analysis using machine learning. </w:t>
      </w:r>
      <w:r w:rsidRPr="001161FC">
        <w:rPr>
          <w:rFonts w:ascii="Times New Roman" w:eastAsia="Times New Roman" w:hAnsi="Times New Roman" w:cs="Times New Roman"/>
          <w:i/>
          <w:iCs/>
        </w:rPr>
        <w:t>Forensic Science International</w:t>
      </w:r>
      <w:r w:rsidRPr="001161FC">
        <w:rPr>
          <w:rFonts w:ascii="Times New Roman" w:eastAsia="Times New Roman" w:hAnsi="Times New Roman" w:cs="Times New Roman"/>
        </w:rPr>
        <w:t>, 378, 112728. https://doi.org/10.1016/j.forsciint.2025.112728</w:t>
      </w:r>
    </w:p>
    <w:p w:rsidR="001161FC" w:rsidRPr="001161FC" w:rsidP="001161FC" w14:paraId="3494F18C" w14:textId="77777777">
      <w:pPr>
        <w:spacing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Büyükatak</w:t>
      </w:r>
      <w:r w:rsidRPr="001161FC">
        <w:rPr>
          <w:rFonts w:ascii="Times New Roman" w:eastAsia="Times New Roman" w:hAnsi="Times New Roman" w:cs="Times New Roman"/>
        </w:rPr>
        <w:t xml:space="preserve">, K., </w:t>
      </w:r>
      <w:r w:rsidRPr="001161FC">
        <w:rPr>
          <w:rFonts w:ascii="Times New Roman" w:eastAsia="Times New Roman" w:hAnsi="Times New Roman" w:cs="Times New Roman"/>
        </w:rPr>
        <w:t>Soğukpınar</w:t>
      </w:r>
      <w:r w:rsidRPr="001161FC">
        <w:rPr>
          <w:rFonts w:ascii="Times New Roman" w:eastAsia="Times New Roman" w:hAnsi="Times New Roman" w:cs="Times New Roman"/>
        </w:rPr>
        <w:t xml:space="preserve">, V. O., Arslan, M. N., &amp; </w:t>
      </w:r>
      <w:r w:rsidRPr="001161FC">
        <w:rPr>
          <w:rFonts w:ascii="Times New Roman" w:eastAsia="Times New Roman" w:hAnsi="Times New Roman" w:cs="Times New Roman"/>
        </w:rPr>
        <w:t>Şam</w:t>
      </w:r>
      <w:r w:rsidRPr="001161FC">
        <w:rPr>
          <w:rFonts w:ascii="Times New Roman" w:eastAsia="Times New Roman" w:hAnsi="Times New Roman" w:cs="Times New Roman"/>
        </w:rPr>
        <w:t xml:space="preserve">, B. (2026). Interpretation of bloodstain patterns on fabrics. </w:t>
      </w:r>
      <w:r w:rsidRPr="001161FC">
        <w:rPr>
          <w:rFonts w:ascii="Times New Roman" w:eastAsia="Times New Roman" w:hAnsi="Times New Roman" w:cs="Times New Roman"/>
          <w:i/>
          <w:iCs/>
        </w:rPr>
        <w:t>Journal of Forensic Sciences</w:t>
      </w:r>
      <w:r w:rsidRPr="001161FC">
        <w:rPr>
          <w:rFonts w:ascii="Times New Roman" w:eastAsia="Times New Roman" w:hAnsi="Times New Roman" w:cs="Times New Roman"/>
        </w:rPr>
        <w:t>, 71(1), 267–275. https://doi.org/10.1111/1556-4029.70202</w:t>
      </w:r>
    </w:p>
    <w:p w:rsidR="001161FC" w:rsidRPr="001161FC" w:rsidP="001161FC" w14:paraId="51035DCD" w14:textId="77777777">
      <w:pPr>
        <w:spacing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 xml:space="preserve">Hook, E., Fieldhouse, S., Flatman-Fairs, D., &amp; Williams, G. (2024). Bloodstain classification methods: A critical review and a look to the future. </w:t>
      </w:r>
      <w:r w:rsidRPr="001161FC">
        <w:rPr>
          <w:rFonts w:ascii="Times New Roman" w:eastAsia="Times New Roman" w:hAnsi="Times New Roman" w:cs="Times New Roman"/>
          <w:i/>
          <w:iCs/>
        </w:rPr>
        <w:t>Science &amp; Justice</w:t>
      </w:r>
      <w:r w:rsidRPr="001161FC">
        <w:rPr>
          <w:rFonts w:ascii="Times New Roman" w:eastAsia="Times New Roman" w:hAnsi="Times New Roman" w:cs="Times New Roman"/>
        </w:rPr>
        <w:t>, 64(4), 408-420. https://doi.org/10.1016/j.scijus.2024.06.004</w:t>
      </w:r>
    </w:p>
    <w:p w:rsidR="001161FC" w:rsidRPr="001161FC" w:rsidP="001161FC" w14:paraId="0932686E" w14:textId="77777777">
      <w:pPr>
        <w:spacing w:after="0" w:line="480" w:lineRule="auto"/>
        <w:ind w:left="720" w:hanging="720"/>
        <w:rPr>
          <w:rFonts w:ascii="Times New Roman" w:eastAsia="Times New Roman" w:hAnsi="Times New Roman" w:cs="Times New Roman"/>
          <w:highlight w:val="cyan"/>
        </w:rPr>
      </w:pPr>
      <w:r w:rsidRPr="001161FC">
        <w:rPr>
          <w:rFonts w:ascii="Times New Roman" w:eastAsia="Times New Roman" w:hAnsi="Times New Roman" w:cs="Times New Roman"/>
          <w:highlight w:val="cyan"/>
        </w:rPr>
        <w:t xml:space="preserve">Jomon, S., Bastian, B. T., &amp; Joseph, M. M. (2026). Analysis of passive bloodstain morphology across surface textures and drop heights using deep learning. </w:t>
      </w:r>
      <w:r w:rsidRPr="001161FC">
        <w:rPr>
          <w:rFonts w:ascii="Times New Roman" w:eastAsia="Times New Roman" w:hAnsi="Times New Roman" w:cs="Times New Roman"/>
          <w:i/>
          <w:iCs/>
          <w:highlight w:val="cyan"/>
        </w:rPr>
        <w:t>Forensic Science International</w:t>
      </w:r>
      <w:r w:rsidRPr="001161FC">
        <w:rPr>
          <w:rFonts w:ascii="Times New Roman" w:eastAsia="Times New Roman" w:hAnsi="Times New Roman" w:cs="Times New Roman"/>
          <w:highlight w:val="cyan"/>
        </w:rPr>
        <w:t>. https://doi.org/10.1016/j.forsciint.2026.000770</w:t>
      </w:r>
    </w:p>
    <w:p w:rsidR="001161FC" w:rsidRPr="001161FC" w:rsidP="001161FC" w14:paraId="6DDCE71A" w14:textId="77777777">
      <w:pPr>
        <w:spacing w:after="0" w:line="480" w:lineRule="auto"/>
        <w:ind w:left="720" w:hanging="720"/>
        <w:rPr>
          <w:rFonts w:ascii="Times New Roman" w:eastAsia="Times New Roman" w:hAnsi="Times New Roman" w:cs="Times New Roman"/>
          <w:highlight w:val="cyan"/>
        </w:rPr>
      </w:pPr>
      <w:r w:rsidRPr="001161FC">
        <w:rPr>
          <w:rFonts w:ascii="Times New Roman" w:eastAsia="Times New Roman" w:hAnsi="Times New Roman" w:cs="Times New Roman"/>
          <w:highlight w:val="cyan"/>
        </w:rPr>
        <w:t>Kafadar</w:t>
      </w:r>
      <w:r w:rsidRPr="001161FC">
        <w:rPr>
          <w:rFonts w:ascii="Times New Roman" w:eastAsia="Times New Roman" w:hAnsi="Times New Roman" w:cs="Times New Roman"/>
          <w:highlight w:val="cyan"/>
        </w:rPr>
        <w:t xml:space="preserve">, K., &amp; </w:t>
      </w:r>
      <w:r w:rsidRPr="001161FC">
        <w:rPr>
          <w:rFonts w:ascii="Times New Roman" w:eastAsia="Times New Roman" w:hAnsi="Times New Roman" w:cs="Times New Roman"/>
          <w:highlight w:val="cyan"/>
        </w:rPr>
        <w:t>Carriquiry</w:t>
      </w:r>
      <w:r w:rsidRPr="001161FC">
        <w:rPr>
          <w:rFonts w:ascii="Times New Roman" w:eastAsia="Times New Roman" w:hAnsi="Times New Roman" w:cs="Times New Roman"/>
          <w:highlight w:val="cyan"/>
        </w:rPr>
        <w:t xml:space="preserve">, A. L. (2024). Challenges in modeling, interpreting, and drawing conclusions from images as forensic evidence. </w:t>
      </w:r>
      <w:r w:rsidRPr="001161FC">
        <w:rPr>
          <w:rFonts w:ascii="Times New Roman" w:eastAsia="Times New Roman" w:hAnsi="Times New Roman" w:cs="Times New Roman"/>
          <w:i/>
          <w:iCs/>
          <w:highlight w:val="cyan"/>
        </w:rPr>
        <w:t>Statistics and Data Science in Imaging</w:t>
      </w:r>
      <w:r w:rsidRPr="001161FC">
        <w:rPr>
          <w:rFonts w:ascii="Times New Roman" w:eastAsia="Times New Roman" w:hAnsi="Times New Roman" w:cs="Times New Roman"/>
          <w:highlight w:val="cyan"/>
        </w:rPr>
        <w:t>, 1(1), 2401758. https://doi.org/10.1080/29979676.2024.2401758</w:t>
      </w:r>
    </w:p>
    <w:p w:rsidR="001161FC" w:rsidRPr="001161FC" w:rsidP="001161FC" w14:paraId="4E9AB18D" w14:textId="77777777">
      <w:pPr>
        <w:spacing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 xml:space="preserve">Kannan, S., </w:t>
      </w:r>
      <w:r w:rsidRPr="001161FC">
        <w:rPr>
          <w:rFonts w:ascii="Times New Roman" w:eastAsia="Times New Roman" w:hAnsi="Times New Roman" w:cs="Times New Roman"/>
        </w:rPr>
        <w:t>Pachong</w:t>
      </w:r>
      <w:r w:rsidRPr="001161FC">
        <w:rPr>
          <w:rFonts w:ascii="Times New Roman" w:eastAsia="Times New Roman" w:hAnsi="Times New Roman" w:cs="Times New Roman"/>
        </w:rPr>
        <w:t xml:space="preserve">, S. M., Lewis, P. R., &amp; Stotesbury, T. (2025). A dataset of drip patterns for teaching and research purposes in forensic bloodstain pattern analysis. </w:t>
      </w:r>
      <w:r w:rsidRPr="001161FC">
        <w:rPr>
          <w:rFonts w:ascii="Times New Roman" w:eastAsia="Times New Roman" w:hAnsi="Times New Roman" w:cs="Times New Roman"/>
          <w:i/>
          <w:iCs/>
        </w:rPr>
        <w:t>Data in Brief</w:t>
      </w:r>
      <w:r w:rsidRPr="001161FC">
        <w:rPr>
          <w:rFonts w:ascii="Times New Roman" w:eastAsia="Times New Roman" w:hAnsi="Times New Roman" w:cs="Times New Roman"/>
        </w:rPr>
        <w:t>, 59, 111352. https://doi.org/10.1016/j.dib.2025.111352</w:t>
      </w:r>
    </w:p>
    <w:p w:rsidR="001161FC" w:rsidRPr="001161FC" w:rsidP="001161FC" w14:paraId="1F9A57A6" w14:textId="77777777">
      <w:pPr>
        <w:spacing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Pachong</w:t>
      </w:r>
      <w:r w:rsidRPr="001161FC">
        <w:rPr>
          <w:rFonts w:ascii="Times New Roman" w:eastAsia="Times New Roman" w:hAnsi="Times New Roman" w:cs="Times New Roman"/>
        </w:rPr>
        <w:t xml:space="preserve">, S. M., Alavi, A., Kannan, S., Stotesbury, T., &amp; Lewis, P. R. (2026). Unsupervised machine learning for the detection and interpretation of key features in drip patterns. </w:t>
      </w:r>
      <w:r w:rsidRPr="001161FC">
        <w:rPr>
          <w:rFonts w:ascii="Times New Roman" w:eastAsia="Times New Roman" w:hAnsi="Times New Roman" w:cs="Times New Roman"/>
          <w:i/>
          <w:iCs/>
        </w:rPr>
        <w:t>Forensic Science International</w:t>
      </w:r>
      <w:r w:rsidRPr="001161FC">
        <w:rPr>
          <w:rFonts w:ascii="Times New Roman" w:eastAsia="Times New Roman" w:hAnsi="Times New Roman" w:cs="Times New Roman"/>
        </w:rPr>
        <w:t>, 378, 112669. https://doi.org/10.1016/j.forsciint.2025.112669</w:t>
      </w:r>
    </w:p>
    <w:p w:rsidR="001161FC" w:rsidRPr="001161FC" w:rsidP="001161FC" w14:paraId="7F214495" w14:textId="77777777">
      <w:pPr>
        <w:spacing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 xml:space="preserve">Rajkumari, S. (2024). Investigation of stain patterns from diverse blood samples on various surfaces. </w:t>
      </w:r>
      <w:r w:rsidRPr="001161FC">
        <w:rPr>
          <w:rFonts w:ascii="Times New Roman" w:eastAsia="Times New Roman" w:hAnsi="Times New Roman" w:cs="Times New Roman"/>
          <w:i/>
          <w:iCs/>
        </w:rPr>
        <w:t>Journal of Forensic Science and Research</w:t>
      </w:r>
      <w:r w:rsidRPr="001161FC">
        <w:rPr>
          <w:rFonts w:ascii="Times New Roman" w:eastAsia="Times New Roman" w:hAnsi="Times New Roman" w:cs="Times New Roman"/>
        </w:rPr>
        <w:t>, 8(1), 028-034. https://doi.org/10.29328/journal.jfsr.1001061</w:t>
      </w:r>
    </w:p>
    <w:p w:rsidR="001161FC" w:rsidRPr="001161FC" w:rsidP="001161FC" w14:paraId="3A50FAB2" w14:textId="77777777">
      <w:pPr>
        <w:spacing w:after="0" w:line="480" w:lineRule="auto"/>
        <w:ind w:left="720" w:hanging="720"/>
        <w:rPr>
          <w:rFonts w:ascii="Times New Roman" w:eastAsia="Times New Roman" w:hAnsi="Times New Roman" w:cs="Times New Roman"/>
        </w:rPr>
      </w:pPr>
      <w:r w:rsidRPr="001161FC">
        <w:rPr>
          <w:rFonts w:ascii="Times New Roman" w:eastAsia="Times New Roman" w:hAnsi="Times New Roman" w:cs="Times New Roman"/>
        </w:rPr>
        <w:t xml:space="preserve">Rough, R., Batchelor, O., Green, R., &amp; Bainbridge-Smith, A. (2024). An automated method for the generation of bloodstain pattern metrics from images of blood spatter patterns. </w:t>
      </w:r>
      <w:r w:rsidRPr="001161FC">
        <w:rPr>
          <w:rFonts w:ascii="Times New Roman" w:eastAsia="Times New Roman" w:hAnsi="Times New Roman" w:cs="Times New Roman"/>
          <w:i/>
          <w:iCs/>
        </w:rPr>
        <w:t>Forensic Science International</w:t>
      </w:r>
      <w:r w:rsidRPr="001161FC">
        <w:rPr>
          <w:rFonts w:ascii="Times New Roman" w:eastAsia="Times New Roman" w:hAnsi="Times New Roman" w:cs="Times New Roman"/>
        </w:rPr>
        <w:t>, 363, 112200. https://doi.org/10.1016/j.forsciint.2024.112200</w:t>
      </w:r>
    </w:p>
    <w:p w:rsidR="001161FC" w:rsidRPr="001161FC" w:rsidP="001161FC" w14:paraId="4FAE4E2A" w14:textId="77777777">
      <w:pPr>
        <w:spacing w:after="0" w:line="480" w:lineRule="auto"/>
        <w:ind w:left="720" w:hanging="720"/>
        <w:rPr>
          <w:rFonts w:ascii="Times New Roman" w:eastAsia="Times New Roman" w:hAnsi="Times New Roman" w:cs="Times New Roman"/>
          <w:highlight w:val="cyan"/>
        </w:rPr>
      </w:pPr>
      <w:r w:rsidRPr="001161FC">
        <w:rPr>
          <w:rFonts w:ascii="Times New Roman" w:eastAsia="Times New Roman" w:hAnsi="Times New Roman" w:cs="Times New Roman"/>
          <w:highlight w:val="cyan"/>
        </w:rPr>
        <w:t xml:space="preserve">Xiang, S., Liu, Y., Tang, Q., Jin, Y., Fan, J., &amp; Chen, L. (2023). Impinging blood droplets on different wettable surfaces: Impact phenomena, contact line motion, post-impact oscillation, and dried stains. </w:t>
      </w:r>
      <w:r w:rsidRPr="001161FC">
        <w:rPr>
          <w:rFonts w:ascii="Times New Roman" w:eastAsia="Times New Roman" w:hAnsi="Times New Roman" w:cs="Times New Roman"/>
          <w:i/>
          <w:iCs/>
          <w:highlight w:val="cyan"/>
        </w:rPr>
        <w:t>Science &amp; Justice</w:t>
      </w:r>
      <w:r w:rsidRPr="001161FC">
        <w:rPr>
          <w:rFonts w:ascii="Times New Roman" w:eastAsia="Times New Roman" w:hAnsi="Times New Roman" w:cs="Times New Roman"/>
          <w:highlight w:val="cyan"/>
        </w:rPr>
        <w:t>, 63(4), 517–528. https://doi.org/10.1016/j.scijus.2023.06.001</w:t>
      </w:r>
    </w:p>
    <w:p w:rsidR="001161FC" w:rsidRPr="001161FC" w:rsidP="001161FC" w14:paraId="6CF97061" w14:textId="77777777">
      <w:pPr>
        <w:rPr>
          <w:rFonts w:ascii="Times New Roman" w:hAnsi="Times New Roman" w:cs="Times New Roman"/>
        </w:rPr>
      </w:pPr>
    </w:p>
    <w:p w:rsidR="00D62E2D" w:rsidRPr="001161FC" w:rsidP="001161FC" w14:paraId="00000032" w14:textId="77777777">
      <w:pPr>
        <w:spacing w:before="160" w:after="0" w:line="480" w:lineRule="auto"/>
        <w:ind w:left="720" w:hanging="720"/>
        <w:rPr>
          <w:rFonts w:ascii="Times New Roman" w:hAnsi="Times New Roman" w:cs="Times New Roman"/>
        </w:rPr>
      </w:pPr>
    </w:p>
    <w:sectPr>
      <w:headerReference w:type="default" r:id="rId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embedRegular r:id="rId1" w:fontKey="{FC02BB71-4A23-41F6-AF9F-C9F772124AF9}"/>
    <w:embedItalic r:id="rId2" w:fontKey="{75E2AFD6-8761-4023-9B06-19C30267DF9B}"/>
  </w:font>
  <w:font w:name="Play">
    <w:charset w:val="00"/>
    <w:family w:val="auto"/>
    <w:pitch w:val="default"/>
    <w:sig w:usb0="00000000" w:usb1="00000000" w:usb2="00000000" w:usb3="00000000" w:csb0="00000001" w:csb1="00000000"/>
    <w:embedRegular r:id="rId3" w:fontKey="{F5D93616-A307-445C-9031-3642E5DCF9A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BAC8598-B51E-4499-A370-C54DF0BC16A2}"/>
  </w:font>
  <w:font w:name="Cambria">
    <w:panose1 w:val="02040503050406030204"/>
    <w:charset w:val="00"/>
    <w:family w:val="roman"/>
    <w:pitch w:val="variable"/>
    <w:sig w:usb0="E00006FF" w:usb1="420024FF" w:usb2="02000000" w:usb3="00000000" w:csb0="0000019F" w:csb1="00000000"/>
    <w:embedRegular r:id="rId5" w:fontKey="{952EA24A-8046-48F4-BE7E-458E984F4F9F}"/>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rPr>
      <w:id w:val="-272406487"/>
      <w:docPartObj>
        <w:docPartGallery w:val="Page Numbers (Top of Page)"/>
        <w:docPartUnique/>
      </w:docPartObj>
    </w:sdtPr>
    <w:sdtEndPr>
      <w:rPr>
        <w:noProof/>
      </w:rPr>
    </w:sdtEndPr>
    <w:sdtContent>
      <w:p w:rsidR="001161FC" w:rsidRPr="001161FC" w14:paraId="4A277537" w14:textId="3B1105A4">
        <w:pPr>
          <w:pStyle w:val="Header"/>
          <w:jc w:val="right"/>
          <w:rPr>
            <w:rFonts w:ascii="Times New Roman" w:hAnsi="Times New Roman" w:cs="Times New Roman"/>
          </w:rPr>
        </w:pPr>
        <w:r w:rsidRPr="001161FC">
          <w:rPr>
            <w:rFonts w:ascii="Times New Roman" w:hAnsi="Times New Roman" w:cs="Times New Roman"/>
          </w:rPr>
          <w:fldChar w:fldCharType="begin"/>
        </w:r>
        <w:r w:rsidRPr="001161FC">
          <w:rPr>
            <w:rFonts w:ascii="Times New Roman" w:hAnsi="Times New Roman" w:cs="Times New Roman"/>
          </w:rPr>
          <w:instrText xml:space="preserve"> PAGE   \* MERGEFORMAT </w:instrText>
        </w:r>
        <w:r w:rsidRPr="001161FC">
          <w:rPr>
            <w:rFonts w:ascii="Times New Roman" w:hAnsi="Times New Roman" w:cs="Times New Roman"/>
          </w:rPr>
          <w:fldChar w:fldCharType="separate"/>
        </w:r>
        <w:r w:rsidRPr="001161FC">
          <w:rPr>
            <w:rFonts w:ascii="Times New Roman" w:hAnsi="Times New Roman" w:cs="Times New Roman"/>
            <w:noProof/>
          </w:rPr>
          <w:t>2</w:t>
        </w:r>
        <w:r w:rsidRPr="001161FC">
          <w:rPr>
            <w:rFonts w:ascii="Times New Roman" w:hAnsi="Times New Roman" w:cs="Times New Roman"/>
            <w:noProof/>
          </w:rPr>
          <w:fldChar w:fldCharType="end"/>
        </w:r>
      </w:p>
    </w:sdtContent>
  </w:sdt>
  <w:p w:rsidR="001161FC" w14:paraId="43E9A118"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2D"/>
    <w:rsid w:val="001161FC"/>
    <w:rsid w:val="00352A59"/>
    <w:rsid w:val="007702EE"/>
    <w:rsid w:val="00A61303"/>
    <w:rsid w:val="00AF1131"/>
    <w:rsid w:val="00CA2212"/>
    <w:rsid w:val="00D62E2D"/>
  </w:rsids>
  <m:mathPr>
    <m:mathFont m:val="Cambria Math"/>
  </m:mathPr>
  <w:clrSchemeMapping w:bg1="light1" w:t1="dark1" w:bg2="light2" w:t2="dark2" w:accent1="accent1" w:accent2="accent2" w:accent3="accent3" w:accent4="accent4" w:accent5="accent5" w:accent6="accent6" w:hyperlink="hyperlink" w:followedHyperlink="followedHyperlink"/>
  <w14:docId w14:val="0973899C"/>
  <w15:docId w15:val="{E76FB8D5-2F0F-4267-8353-B7A7A66D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1161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1FC"/>
  </w:style>
  <w:style w:type="paragraph" w:styleId="Footer">
    <w:name w:val="footer"/>
    <w:basedOn w:val="Normal"/>
    <w:link w:val="FooterChar"/>
    <w:uiPriority w:val="99"/>
    <w:unhideWhenUsed/>
    <w:rsid w:val="001161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10</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2026-05-05T17:43:00Z</dcterms:created>
  <dcterms:modified xsi:type="dcterms:W3CDTF">2026-05-05T23:09:00Z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22e6790b-5a44-4fec-b8f2-e330e4f79405</vt:lpwstr>
  </property>
</Properties>
</file>