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B2705A" w:rsidRDefault="00CC4140" w:rsidP="005D6CE1">
      <w:pPr>
        <w:spacing w:line="480" w:lineRule="auto"/>
        <w:ind w:firstLine="720"/>
        <w:jc w:val="center"/>
        <w:rPr>
          <w:rFonts w:ascii="Times New Roman" w:eastAsia="Times New Roman" w:hAnsi="Times New Roman" w:cs="Times New Roman"/>
          <w:b/>
          <w:bCs/>
          <w:sz w:val="24"/>
          <w:szCs w:val="24"/>
        </w:rPr>
      </w:pPr>
    </w:p>
    <w:p w14:paraId="15FC7495" w14:textId="4F12C0F9" w:rsidR="006E2456" w:rsidRPr="00B2705A" w:rsidRDefault="00A90745" w:rsidP="005D6CE1">
      <w:pPr>
        <w:spacing w:line="480" w:lineRule="auto"/>
        <w:jc w:val="center"/>
        <w:rPr>
          <w:rFonts w:ascii="Times New Roman" w:eastAsia="Times New Roman" w:hAnsi="Times New Roman" w:cs="Times New Roman"/>
          <w:b/>
          <w:bCs/>
          <w:sz w:val="24"/>
          <w:szCs w:val="24"/>
          <w:lang w:eastAsia="en-US"/>
        </w:rPr>
      </w:pPr>
      <w:r w:rsidRPr="00B2705A">
        <w:rPr>
          <w:rFonts w:ascii="Times New Roman" w:eastAsia="Times New Roman" w:hAnsi="Times New Roman" w:cs="Times New Roman"/>
          <w:b/>
          <w:bCs/>
          <w:sz w:val="24"/>
          <w:szCs w:val="24"/>
          <w:lang w:eastAsia="en-US"/>
        </w:rPr>
        <w:t>Verdict, Punishment and Judicial Review</w:t>
      </w:r>
    </w:p>
    <w:p w14:paraId="53692B8E" w14:textId="77777777" w:rsidR="00A90745" w:rsidRPr="00B2705A" w:rsidRDefault="00A90745" w:rsidP="005D6CE1">
      <w:pPr>
        <w:spacing w:line="480" w:lineRule="auto"/>
        <w:jc w:val="center"/>
        <w:rPr>
          <w:rFonts w:ascii="Times New Roman" w:hAnsi="Times New Roman" w:cs="Times New Roman"/>
          <w:b/>
          <w:bCs/>
          <w:sz w:val="24"/>
          <w:szCs w:val="24"/>
        </w:rPr>
      </w:pPr>
    </w:p>
    <w:p w14:paraId="4643785F" w14:textId="667E2A2C"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Name of Author</w:t>
      </w:r>
    </w:p>
    <w:p w14:paraId="256DA357" w14:textId="77777777"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Instructor Name</w:t>
      </w:r>
    </w:p>
    <w:p w14:paraId="7A1FF760" w14:textId="2D3FD8A0"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Institution</w:t>
      </w:r>
    </w:p>
    <w:p w14:paraId="3762159C" w14:textId="77777777" w:rsidR="00FB4A59"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Course Code and Number</w:t>
      </w:r>
    </w:p>
    <w:p w14:paraId="48E3E5B3" w14:textId="44BEEE35" w:rsidR="00D832DD" w:rsidRPr="00B2705A" w:rsidRDefault="00000000" w:rsidP="005D6CE1">
      <w:pPr>
        <w:spacing w:line="480" w:lineRule="auto"/>
        <w:jc w:val="center"/>
        <w:rPr>
          <w:rFonts w:ascii="Times New Roman" w:eastAsia="Times New Roman" w:hAnsi="Times New Roman" w:cs="Times New Roman"/>
          <w:sz w:val="24"/>
          <w:szCs w:val="24"/>
        </w:rPr>
      </w:pPr>
      <w:r w:rsidRPr="00B2705A">
        <w:rPr>
          <w:rFonts w:ascii="Times New Roman" w:eastAsia="Times New Roman" w:hAnsi="Times New Roman" w:cs="Times New Roman"/>
          <w:sz w:val="24"/>
          <w:szCs w:val="24"/>
        </w:rPr>
        <w:t xml:space="preserve">Date </w:t>
      </w:r>
    </w:p>
    <w:p w14:paraId="69EFF0AC" w14:textId="77777777" w:rsidR="00D832DD" w:rsidRPr="00B2705A" w:rsidRDefault="00000000" w:rsidP="005D6CE1">
      <w:pPr>
        <w:spacing w:line="480" w:lineRule="auto"/>
        <w:rPr>
          <w:rFonts w:ascii="Times New Roman" w:hAnsi="Times New Roman" w:cs="Times New Roman"/>
          <w:sz w:val="24"/>
          <w:szCs w:val="24"/>
        </w:rPr>
      </w:pPr>
      <w:r w:rsidRPr="00B2705A">
        <w:rPr>
          <w:rFonts w:ascii="Times New Roman" w:hAnsi="Times New Roman" w:cs="Times New Roman"/>
          <w:sz w:val="24"/>
          <w:szCs w:val="24"/>
        </w:rPr>
        <w:br w:type="page"/>
      </w:r>
    </w:p>
    <w:p w14:paraId="20D8DE15" w14:textId="77777777" w:rsidR="00B2705A" w:rsidRDefault="00A90745" w:rsidP="005D6CE1">
      <w:pPr>
        <w:pStyle w:val="Heading3"/>
        <w:spacing w:before="0" w:after="0" w:line="480" w:lineRule="auto"/>
        <w:jc w:val="center"/>
        <w:rPr>
          <w:rFonts w:ascii="Times New Roman" w:hAnsi="Times New Roman" w:cs="Times New Roman"/>
          <w:b/>
          <w:bCs/>
          <w:color w:val="auto"/>
          <w:sz w:val="24"/>
          <w:szCs w:val="24"/>
        </w:rPr>
      </w:pPr>
      <w:r w:rsidRPr="00B2705A">
        <w:rPr>
          <w:rFonts w:ascii="Times New Roman" w:hAnsi="Times New Roman" w:cs="Times New Roman"/>
          <w:b/>
          <w:bCs/>
          <w:color w:val="auto"/>
          <w:sz w:val="24"/>
          <w:szCs w:val="24"/>
        </w:rPr>
        <w:lastRenderedPageBreak/>
        <w:t>Verdict, Punishment and Judicial Revie</w:t>
      </w:r>
      <w:commentRangeStart w:id="0"/>
      <w:commentRangeStart w:id="1"/>
      <w:r w:rsidRPr="00B2705A">
        <w:rPr>
          <w:rFonts w:ascii="Times New Roman" w:hAnsi="Times New Roman" w:cs="Times New Roman"/>
          <w:b/>
          <w:bCs/>
          <w:color w:val="auto"/>
          <w:sz w:val="24"/>
          <w:szCs w:val="24"/>
        </w:rPr>
        <w:t>w</w:t>
      </w:r>
      <w:commentRangeEnd w:id="0"/>
      <w:r w:rsidR="006721A2">
        <w:rPr>
          <w:rStyle w:val="CommentReference"/>
          <w:rFonts w:ascii="Times New Roman" w:hAnsi="Times New Roman" w:cs="Times New Roman"/>
          <w:b/>
          <w:bCs/>
          <w:color w:val="auto"/>
          <w:sz w:val="24"/>
          <w:szCs w:val="24"/>
        </w:rPr>
        <w:commentReference w:id="0"/>
      </w:r>
      <w:commentRangeEnd w:id="1"/>
      <w:r w:rsidR="0040642C">
        <w:rPr>
          <w:rStyle w:val="CommentReference"/>
          <w:rFonts w:ascii="Times New Roman" w:hAnsi="Times New Roman" w:cs="Times New Roman"/>
          <w:b/>
          <w:bCs/>
          <w:color w:val="auto"/>
          <w:sz w:val="24"/>
          <w:szCs w:val="24"/>
        </w:rPr>
        <w:commentReference w:id="1"/>
      </w:r>
    </w:p>
    <w:p w14:paraId="4C697F54" w14:textId="17011D97" w:rsidR="00B2705A" w:rsidRPr="00B2705A" w:rsidRDefault="00B2705A" w:rsidP="005D6CE1">
      <w:pPr>
        <w:pStyle w:val="Heading3"/>
        <w:spacing w:before="0" w:after="0" w:line="480" w:lineRule="auto"/>
        <w:jc w:val="center"/>
        <w:rPr>
          <w:rFonts w:ascii="Times New Roman" w:hAnsi="Times New Roman" w:cs="Times New Roman"/>
          <w:b/>
          <w:bCs/>
          <w:color w:val="auto"/>
          <w:sz w:val="24"/>
          <w:szCs w:val="24"/>
        </w:rPr>
      </w:pPr>
      <w:r w:rsidRPr="00B2705A">
        <w:rPr>
          <w:rFonts w:ascii="Times New Roman" w:hAnsi="Times New Roman" w:cs="Times New Roman"/>
          <w:b/>
          <w:bCs/>
          <w:color w:val="auto"/>
          <w:sz w:val="24"/>
          <w:szCs w:val="24"/>
        </w:rPr>
        <w:t>Right to Appeal</w:t>
      </w:r>
    </w:p>
    <w:p w14:paraId="41D69DC8" w14:textId="3EF3D9C6" w:rsid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 xml:space="preserve">The right to appeal is a right granted to a convicted defendant to seek an appellate review of an undesirable judicial determination through proving that an error occurred that had a direct impact on the result of the case at hand (The Right to Appeal - Module 4 of 5, n.d.). This is an appellate review that is strictly based on the established trial record that includes jury instructions, exhibits used in evidence, and transcript where the judge ruled on objections (Bacigal &amp; Tate, 2015). </w:t>
      </w:r>
    </w:p>
    <w:p w14:paraId="5FE87531" w14:textId="715E1849"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De Novo Review</w:t>
      </w:r>
    </w:p>
    <w:p w14:paraId="73E4B1BD" w14:textId="2BF65F7E"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 xml:space="preserve">De novo review is a rigorous standard where a court of appeal reviews questions of law or mixed questions of law and fact in their entirety with no deference to prior decisions of a court of law below them in the legal hierarchy of a given jurisdiction (The Right to Appeal - Module 4 of 5, n.d.). The procedure, in the corresponding context of a trial de novo, serves as an original trial transferred a notch higher to a court of record, which is a completely new trial and not an ordinary appeal (Bacigal &amp; Tate, 2015). As a result, the sentence that one receives after a trial de novo can be more severe than the initial one (Bacigal &amp; Tate, 2015). </w:t>
      </w:r>
    </w:p>
    <w:p w14:paraId="278390CE" w14:textId="050DA63A"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“Clear Error” Review</w:t>
      </w:r>
    </w:p>
    <w:p w14:paraId="7D56ED19" w14:textId="77AEACD9"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 xml:space="preserve">The standard of a clear error is only applicable to findings of fact, and gives ample deference to the trial judge or jury, as the trial court is in the best position to assess physical evidence and witness credibility in the first instance (The Right to Appeal - Module 4 of 5, n.d.). Only an appellate court can reverse such findings in case it has a clear and firm conviction that some obvious mistake was made, ultimately making sure that a reasonable trier of fact would also have reasonably found the essential elements of the crime beyond a reasonable doubt (Bacigal &amp; Tate, 2015; "The Right to Appeal - Module 4 of 5", n.d.). </w:t>
      </w:r>
    </w:p>
    <w:p w14:paraId="0AD2D61D" w14:textId="66D608AA"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lastRenderedPageBreak/>
        <w:t>Abuse of Discretion Review.</w:t>
      </w:r>
    </w:p>
    <w:p w14:paraId="556CDE17" w14:textId="3C1761D0"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This standard of review examines the reasoning of the judge and discretionary decisions of the judge</w:t>
      </w:r>
      <w:commentRangeStart w:id="2"/>
      <w:r w:rsidRPr="00B2705A">
        <w:rPr>
          <w:rFonts w:ascii="Times New Roman" w:hAnsi="Times New Roman" w:cs="Times New Roman"/>
          <w:sz w:val="24"/>
          <w:szCs w:val="24"/>
        </w:rPr>
        <w:t xml:space="preserve"> </w:t>
      </w:r>
      <w:commentRangeEnd w:id="2"/>
      <w:r w:rsidR="00EE7BE1" w:rsidRPr="00B2705A">
        <w:rPr>
          <w:rStyle w:val="CommentReference"/>
          <w:rFonts w:ascii="Times New Roman" w:hAnsi="Times New Roman" w:cs="Times New Roman"/>
          <w:sz w:val="24"/>
          <w:szCs w:val="24"/>
        </w:rPr>
        <w:commentReference w:id="2"/>
      </w:r>
      <w:r w:rsidRPr="00B2705A">
        <w:rPr>
          <w:rFonts w:ascii="Times New Roman" w:hAnsi="Times New Roman" w:cs="Times New Roman"/>
          <w:sz w:val="24"/>
          <w:szCs w:val="24"/>
        </w:rPr>
        <w:t xml:space="preserve">such as the ruling of the judge on a motion to set aside the judgment or a discretionary verdict of the judge (Bacigal and Tate, 2015; "The Right to Appeal - Module 4 of 5", n.d.). A trial judge exercising discretion in deciding a case cannot be interfered with by an appellate court unless it can be proven to be manifestly unreasonable, lacks foundation in factual information, or simply violates good legal principles (The Right to Appeal - Module 4 of 5, n.d.). </w:t>
      </w:r>
    </w:p>
    <w:p w14:paraId="4C91041A" w14:textId="0653B501"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Preserving Error for Appeal</w:t>
      </w:r>
    </w:p>
    <w:p w14:paraId="72573AED" w14:textId="49F6C6BD" w:rsidR="00B2705A" w:rsidRPr="00B2705A" w:rsidRDefault="00B2705A" w:rsidP="005D6CE1">
      <w:pPr>
        <w:spacing w:line="480" w:lineRule="auto"/>
        <w:rPr>
          <w:rFonts w:ascii="Times New Roman" w:hAnsi="Times New Roman" w:cs="Times New Roman"/>
          <w:sz w:val="24"/>
          <w:szCs w:val="24"/>
        </w:rPr>
      </w:pPr>
      <w:r>
        <w:rPr>
          <w:rFonts w:ascii="Times New Roman" w:hAnsi="Times New Roman" w:cs="Times New Roman"/>
          <w:sz w:val="24"/>
          <w:szCs w:val="24"/>
        </w:rPr>
        <w:tab/>
      </w:r>
      <w:r w:rsidRPr="00B2705A">
        <w:rPr>
          <w:rFonts w:ascii="Times New Roman" w:hAnsi="Times New Roman" w:cs="Times New Roman"/>
          <w:sz w:val="24"/>
          <w:szCs w:val="24"/>
        </w:rPr>
        <w:t>In order to effectively appeal an issue, a defense lawyer needs to create a timely objection on the trial record that clearly identifies the specific legal grounds, thus affording the trial court the opportunity to rectify the error (The Right to Appeal - Module 4 of 5, n.d.). Procedurally, the maintenance of an issue depends largely on stringent procedures</w:t>
      </w:r>
      <w:commentRangeStart w:id="3"/>
      <w:r w:rsidRPr="00B2705A">
        <w:rPr>
          <w:rFonts w:ascii="Times New Roman" w:hAnsi="Times New Roman" w:cs="Times New Roman"/>
          <w:sz w:val="24"/>
          <w:szCs w:val="24"/>
        </w:rPr>
        <w:t xml:space="preserve"> </w:t>
      </w:r>
      <w:commentRangeEnd w:id="3"/>
      <w:r w:rsidR="00EE7BE1" w:rsidRPr="00B2705A">
        <w:rPr>
          <w:rStyle w:val="CommentReference"/>
          <w:rFonts w:ascii="Times New Roman" w:hAnsi="Times New Roman" w:cs="Times New Roman"/>
          <w:sz w:val="24"/>
          <w:szCs w:val="24"/>
        </w:rPr>
        <w:commentReference w:id="3"/>
      </w:r>
      <w:r w:rsidRPr="00B2705A">
        <w:rPr>
          <w:rFonts w:ascii="Times New Roman" w:hAnsi="Times New Roman" w:cs="Times New Roman"/>
          <w:sz w:val="24"/>
          <w:szCs w:val="24"/>
        </w:rPr>
        <w:t xml:space="preserve">including the contemporaneous objection rule, curative admissibility, and submission of proffers of evidence (Bacigal &amp; Tate, 2015). </w:t>
      </w:r>
    </w:p>
    <w:p w14:paraId="177C7C01" w14:textId="0057F8F7" w:rsidR="00B2705A" w:rsidRPr="00B2705A" w:rsidRDefault="00B2705A" w:rsidP="005D6CE1">
      <w:pPr>
        <w:spacing w:line="480" w:lineRule="auto"/>
        <w:jc w:val="center"/>
        <w:rPr>
          <w:rFonts w:ascii="Times New Roman" w:hAnsi="Times New Roman" w:cs="Times New Roman"/>
          <w:b/>
          <w:bCs/>
          <w:sz w:val="24"/>
          <w:szCs w:val="24"/>
        </w:rPr>
      </w:pPr>
      <w:r w:rsidRPr="00B2705A">
        <w:rPr>
          <w:rFonts w:ascii="Times New Roman" w:hAnsi="Times New Roman" w:cs="Times New Roman"/>
          <w:b/>
          <w:bCs/>
          <w:sz w:val="24"/>
          <w:szCs w:val="24"/>
        </w:rPr>
        <w:t>Habeas Corpus and Relief Pending Review.</w:t>
      </w:r>
    </w:p>
    <w:p w14:paraId="51E38944" w14:textId="1B33248B" w:rsidR="00732D94" w:rsidRPr="00B2705A" w:rsidRDefault="00B2705A" w:rsidP="005D6CE1">
      <w:pPr>
        <w:spacing w:line="480" w:lineRule="auto"/>
        <w:rPr>
          <w:rFonts w:ascii="Times New Roman" w:hAnsi="Times New Roman" w:cs="Times New Roman"/>
          <w:b/>
          <w:bCs/>
          <w:sz w:val="24"/>
          <w:szCs w:val="24"/>
        </w:rPr>
      </w:pPr>
      <w:r>
        <w:rPr>
          <w:rFonts w:ascii="Times New Roman" w:hAnsi="Times New Roman" w:cs="Times New Roman"/>
          <w:sz w:val="24"/>
          <w:szCs w:val="24"/>
        </w:rPr>
        <w:tab/>
      </w:r>
      <w:r w:rsidRPr="00B2705A">
        <w:rPr>
          <w:rFonts w:ascii="Times New Roman" w:hAnsi="Times New Roman" w:cs="Times New Roman"/>
          <w:sz w:val="24"/>
          <w:szCs w:val="24"/>
        </w:rPr>
        <w:t>A habeas corpus petition is a collateral review of a conviction, rather than the continuation of the criminal process, but it is a civil suit brought to challenge the legality of the restraint with which a person is imprisoned (Bacigal &amp; Tate, 2015). The extraordinary relief can be pursued only under</w:t>
      </w:r>
      <w:commentRangeStart w:id="4"/>
      <w:r w:rsidRPr="00B2705A">
        <w:rPr>
          <w:rFonts w:ascii="Times New Roman" w:hAnsi="Times New Roman" w:cs="Times New Roman"/>
          <w:sz w:val="24"/>
          <w:szCs w:val="24"/>
        </w:rPr>
        <w:t xml:space="preserve"> </w:t>
      </w:r>
      <w:commentRangeEnd w:id="4"/>
      <w:r w:rsidR="00EE7BE1" w:rsidRPr="00B2705A">
        <w:rPr>
          <w:rStyle w:val="CommentReference"/>
          <w:rFonts w:ascii="Times New Roman" w:hAnsi="Times New Roman" w:cs="Times New Roman"/>
          <w:sz w:val="24"/>
          <w:szCs w:val="24"/>
        </w:rPr>
        <w:commentReference w:id="4"/>
      </w:r>
      <w:r w:rsidRPr="00B2705A">
        <w:rPr>
          <w:rFonts w:ascii="Times New Roman" w:hAnsi="Times New Roman" w:cs="Times New Roman"/>
          <w:sz w:val="24"/>
          <w:szCs w:val="24"/>
        </w:rPr>
        <w:t>condition of meeting the stringent procedural requirements, such as a one-year limitation, proving the violations of the Constitution, and ensuring the exhaustion of remedies to prevent the procedural default or abuse of the writ (Bacigal and Tate, 2015). Under very extraordinary conditions, a court can give relief pending a review so that a defendant with a high chance of success may be released on bond as this civil suit is being concluded (The Right to Appeal - Module 4 of 5, n.d.).</w:t>
      </w:r>
      <w:r w:rsidR="00732D94" w:rsidRPr="00B2705A">
        <w:rPr>
          <w:rFonts w:ascii="Times New Roman" w:hAnsi="Times New Roman" w:cs="Times New Roman"/>
          <w:b/>
          <w:bCs/>
          <w:sz w:val="24"/>
          <w:szCs w:val="24"/>
        </w:rPr>
        <w:br w:type="page"/>
      </w:r>
    </w:p>
    <w:p w14:paraId="707DDD80" w14:textId="30A55611" w:rsidR="00067498" w:rsidRPr="00B2705A" w:rsidRDefault="00067498" w:rsidP="005D6CE1">
      <w:pPr>
        <w:pStyle w:val="NormalWeb"/>
        <w:spacing w:line="480" w:lineRule="auto"/>
        <w:jc w:val="center"/>
      </w:pPr>
      <w:r w:rsidRPr="00B2705A">
        <w:rPr>
          <w:b/>
          <w:bCs/>
        </w:rPr>
        <w:lastRenderedPageBreak/>
        <w:t>References</w:t>
      </w:r>
    </w:p>
    <w:p w14:paraId="27A75C81" w14:textId="77777777" w:rsidR="00067498" w:rsidRPr="00B2705A" w:rsidRDefault="00067498" w:rsidP="005D6CE1">
      <w:pPr>
        <w:pStyle w:val="NormalWeb"/>
        <w:spacing w:line="480" w:lineRule="auto"/>
        <w:ind w:left="720" w:hanging="720"/>
      </w:pPr>
      <w:r w:rsidRPr="00B2705A">
        <w:t xml:space="preserve">Bacigal, R. J., &amp; Tate, M. K. (2015). </w:t>
      </w:r>
      <w:r w:rsidRPr="00B2705A">
        <w:rPr>
          <w:i/>
          <w:iCs/>
        </w:rPr>
        <w:t>Criminal law and procedure: An overview</w:t>
      </w:r>
      <w:r w:rsidRPr="00B2705A">
        <w:t xml:space="preserve"> (4th ed.). Cengage Learning.</w:t>
      </w:r>
    </w:p>
    <w:p w14:paraId="5A949502" w14:textId="77777777" w:rsidR="00067498" w:rsidRPr="00B2705A" w:rsidRDefault="00067498" w:rsidP="005D6CE1">
      <w:pPr>
        <w:pStyle w:val="NormalWeb"/>
        <w:spacing w:line="480" w:lineRule="auto"/>
        <w:ind w:left="720" w:hanging="720"/>
      </w:pPr>
      <w:r w:rsidRPr="00B2705A">
        <w:rPr>
          <w:i/>
          <w:iCs/>
        </w:rPr>
        <w:t>The Right to Appeal - Module 4 of 5</w:t>
      </w:r>
      <w:r w:rsidRPr="00B2705A">
        <w:t xml:space="preserve"> [Video]. (n.d.). Provided via Brightspace Course Content.</w:t>
      </w:r>
    </w:p>
    <w:p w14:paraId="4B5C028F" w14:textId="4B1338FE" w:rsidR="00636F2B" w:rsidRPr="00B2705A" w:rsidRDefault="00636F2B" w:rsidP="005D6CE1">
      <w:pPr>
        <w:spacing w:line="480" w:lineRule="auto"/>
        <w:ind w:left="720" w:hanging="720"/>
        <w:rPr>
          <w:rFonts w:ascii="Times New Roman" w:hAnsi="Times New Roman" w:cs="Times New Roman"/>
          <w:sz w:val="24"/>
          <w:szCs w:val="24"/>
        </w:rPr>
      </w:pPr>
    </w:p>
    <w:sectPr w:rsidR="00636F2B" w:rsidRPr="00B2705A">
      <w:headerReference w:type="default" r:id="rId1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yx" w:date="2026-05-06T05:25:00Z" w:initials="nyx">
    <w:p w14:paraId="3F0B798E" w14:textId="77777777" w:rsidR="006721A2" w:rsidRDefault="006721A2" w:rsidP="006721A2">
      <w:pPr>
        <w:pStyle w:val="CommentText"/>
      </w:pPr>
      <w:r>
        <w:rPr>
          <w:rStyle w:val="CommentReference"/>
        </w:rPr>
        <w:annotationRef/>
      </w:r>
      <w:r>
        <w:t>BC37: one citation per topic should be okay.. Please make sure that 2 out of 3 sentences are written in your own words</w:t>
      </w:r>
    </w:p>
    <w:p w14:paraId="3643190C" w14:textId="77777777" w:rsidR="006721A2" w:rsidRDefault="006721A2" w:rsidP="006721A2">
      <w:pPr>
        <w:pStyle w:val="CommentText"/>
      </w:pPr>
      <w:r>
        <w:t xml:space="preserve">Currently, this entire paper is cited, with no original voice </w:t>
      </w:r>
    </w:p>
    <w:p w14:paraId="4724C0BE" w14:textId="77777777" w:rsidR="006721A2" w:rsidRDefault="006721A2" w:rsidP="006721A2">
      <w:pPr>
        <w:pStyle w:val="CommentText"/>
      </w:pPr>
      <w:r>
        <w:t>Client provided the book to make sure that we use the specific terminology, otherwise, only video needs to be used to summarize the concepts</w:t>
      </w:r>
    </w:p>
    <w:p w14:paraId="07738336" w14:textId="2F00E9A4" w:rsidR="006721A2" w:rsidRDefault="006721A2" w:rsidP="006721A2">
      <w:pPr>
        <w:pStyle w:val="CommentText"/>
      </w:pPr>
      <w:r>
        <w:rPr>
          <w:noProof/>
        </w:rPr>
        <w:drawing>
          <wp:inline distT="0" distB="0" distL="0" distR="0" wp14:anchorId="51100E4C" wp14:editId="7CC041E5">
            <wp:extent cx="5493032" cy="628682"/>
            <wp:effectExtent l="0" t="0" r="0" b="0"/>
            <wp:docPr id="157964822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48228" name="Picture 1579648228" descr="Image"/>
                    <pic:cNvPicPr/>
                  </pic:nvPicPr>
                  <pic:blipFill>
                    <a:blip r:embed="rId1">
                      <a:extLst>
                        <a:ext uri="{28A0092B-C50C-407E-A947-70E740481C1C}">
                          <a14:useLocalDpi xmlns:a14="http://schemas.microsoft.com/office/drawing/2010/main" val="0"/>
                        </a:ext>
                      </a:extLst>
                    </a:blip>
                    <a:stretch>
                      <a:fillRect/>
                    </a:stretch>
                  </pic:blipFill>
                  <pic:spPr>
                    <a:xfrm>
                      <a:off x="0" y="0"/>
                      <a:ext cx="5493032" cy="628682"/>
                    </a:xfrm>
                    <a:prstGeom prst="rect">
                      <a:avLst/>
                    </a:prstGeom>
                  </pic:spPr>
                </pic:pic>
              </a:graphicData>
            </a:graphic>
          </wp:inline>
        </w:drawing>
      </w:r>
    </w:p>
  </w:comment>
  <w:comment w:id="1" w:author="nyx" w:date="2026-05-06T05:25:00Z" w:initials="nyx">
    <w:p w14:paraId="28EE565B" w14:textId="77777777" w:rsidR="0040642C" w:rsidRDefault="0040642C" w:rsidP="0040642C">
      <w:pPr>
        <w:pStyle w:val="CommentText"/>
      </w:pPr>
      <w:r>
        <w:rPr>
          <w:rStyle w:val="CommentReference"/>
        </w:rPr>
        <w:annotationRef/>
      </w:r>
      <w:r>
        <w:t>BC8, BC10, BC24, BC30, BC33</w:t>
      </w:r>
    </w:p>
  </w:comment>
  <w:comment w:id="2" w:author="nyx" w:date="2026-05-06T05:26:00Z" w:initials="nyx">
    <w:p w14:paraId="4A1B0DD3" w14:textId="77777777" w:rsidR="00EE7BE1" w:rsidRDefault="00EE7BE1" w:rsidP="00EE7BE1">
      <w:pPr>
        <w:pStyle w:val="CommentText"/>
      </w:pPr>
      <w:r>
        <w:rPr>
          <w:rStyle w:val="CommentReference"/>
        </w:rPr>
        <w:annotationRef/>
      </w:r>
      <w:r>
        <w:t>BC13</w:t>
      </w:r>
    </w:p>
  </w:comment>
  <w:comment w:id="3" w:author="nyx" w:date="2026-05-06T05:26:00Z" w:initials="nyx">
    <w:p w14:paraId="6F718D73" w14:textId="77777777" w:rsidR="00EE7BE1" w:rsidRDefault="00EE7BE1" w:rsidP="00EE7BE1">
      <w:pPr>
        <w:pStyle w:val="CommentText"/>
      </w:pPr>
      <w:r>
        <w:rPr>
          <w:rStyle w:val="CommentReference"/>
        </w:rPr>
        <w:annotationRef/>
      </w:r>
      <w:r>
        <w:t>BC13</w:t>
      </w:r>
    </w:p>
  </w:comment>
  <w:comment w:id="4" w:author="nyx" w:date="2026-05-06T05:27:00Z" w:initials="nyx">
    <w:p w14:paraId="2D41D89C" w14:textId="77777777" w:rsidR="00EE7BE1" w:rsidRDefault="00EE7BE1" w:rsidP="00EE7BE1">
      <w:pPr>
        <w:pStyle w:val="CommentText"/>
      </w:pPr>
      <w:r>
        <w:rPr>
          <w:rStyle w:val="CommentReference"/>
        </w:rPr>
        <w:annotationRef/>
      </w:r>
      <w:r>
        <w:t>BC17: the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738336" w15:done="0"/>
  <w15:commentEx w15:paraId="28EE565B" w15:paraIdParent="07738336" w15:done="0"/>
  <w15:commentEx w15:paraId="4A1B0DD3" w15:done="0"/>
  <w15:commentEx w15:paraId="6F718D73" w15:done="0"/>
  <w15:commentEx w15:paraId="2D41D8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0D073A" w16cex:dateUtc="2026-05-06T00:25:00Z"/>
  <w16cex:commentExtensible w16cex:durableId="01D67327" w16cex:dateUtc="2026-05-06T00:25:00Z"/>
  <w16cex:commentExtensible w16cex:durableId="21984E61" w16cex:dateUtc="2026-05-06T00:26:00Z"/>
  <w16cex:commentExtensible w16cex:durableId="68D1DB9D" w16cex:dateUtc="2026-05-06T00:26:00Z"/>
  <w16cex:commentExtensible w16cex:durableId="5044E1FA" w16cex:dateUtc="2026-05-06T0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738336" w16cid:durableId="510D073A"/>
  <w16cid:commentId w16cid:paraId="28EE565B" w16cid:durableId="01D67327"/>
  <w16cid:commentId w16cid:paraId="4A1B0DD3" w16cid:durableId="21984E61"/>
  <w16cid:commentId w16cid:paraId="6F718D73" w16cid:durableId="68D1DB9D"/>
  <w16cid:commentId w16cid:paraId="2D41D89C" w16cid:durableId="5044E1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56DC5" w14:textId="77777777" w:rsidR="00005CA9" w:rsidRDefault="00005CA9">
      <w:pPr>
        <w:spacing w:line="240" w:lineRule="auto"/>
      </w:pPr>
      <w:r>
        <w:separator/>
      </w:r>
    </w:p>
  </w:endnote>
  <w:endnote w:type="continuationSeparator" w:id="0">
    <w:p w14:paraId="4B78CC51" w14:textId="77777777" w:rsidR="00005CA9" w:rsidRDefault="00005C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B8558C-7796-48B5-940E-7405F800BB86}"/>
  </w:font>
  <w:font w:name="Cambria">
    <w:panose1 w:val="02040503050406030204"/>
    <w:charset w:val="00"/>
    <w:family w:val="roman"/>
    <w:pitch w:val="variable"/>
    <w:sig w:usb0="E00006FF" w:usb1="420024FF" w:usb2="02000000" w:usb3="00000000" w:csb0="0000019F" w:csb1="00000000"/>
    <w:embedRegular r:id="rId2" w:fontKey="{FF93F83E-D90F-4BE7-BDB9-15B64888CE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FC9D7" w14:textId="77777777" w:rsidR="00005CA9" w:rsidRDefault="00005CA9">
      <w:pPr>
        <w:spacing w:line="240" w:lineRule="auto"/>
      </w:pPr>
      <w:r>
        <w:separator/>
      </w:r>
    </w:p>
  </w:footnote>
  <w:footnote w:type="continuationSeparator" w:id="0">
    <w:p w14:paraId="03DDC6CE" w14:textId="77777777" w:rsidR="00005CA9" w:rsidRDefault="00005C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586DF4"/>
    <w:multiLevelType w:val="hybridMultilevel"/>
    <w:tmpl w:val="12189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2"/>
  </w:num>
  <w:num w:numId="3" w16cid:durableId="6843281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yx">
    <w15:presenceInfo w15:providerId="None" w15:userId="ny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rgUALgFcECwAAAA="/>
  </w:docVars>
  <w:rsids>
    <w:rsidRoot w:val="00CC4140"/>
    <w:rsid w:val="00005CA9"/>
    <w:rsid w:val="0002393F"/>
    <w:rsid w:val="00025392"/>
    <w:rsid w:val="00025755"/>
    <w:rsid w:val="0002628D"/>
    <w:rsid w:val="00036911"/>
    <w:rsid w:val="000602DD"/>
    <w:rsid w:val="000623C9"/>
    <w:rsid w:val="00067498"/>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05564"/>
    <w:rsid w:val="00212D49"/>
    <w:rsid w:val="002257DD"/>
    <w:rsid w:val="00226B02"/>
    <w:rsid w:val="00255E40"/>
    <w:rsid w:val="002722B9"/>
    <w:rsid w:val="002A26CB"/>
    <w:rsid w:val="002C3782"/>
    <w:rsid w:val="002D172A"/>
    <w:rsid w:val="002E2E6C"/>
    <w:rsid w:val="003228C2"/>
    <w:rsid w:val="003363A8"/>
    <w:rsid w:val="003419A2"/>
    <w:rsid w:val="003501F1"/>
    <w:rsid w:val="003526B8"/>
    <w:rsid w:val="003565B3"/>
    <w:rsid w:val="00392FCE"/>
    <w:rsid w:val="003A2B63"/>
    <w:rsid w:val="003B1ECD"/>
    <w:rsid w:val="003C78FE"/>
    <w:rsid w:val="003D59C7"/>
    <w:rsid w:val="003E5015"/>
    <w:rsid w:val="0040351E"/>
    <w:rsid w:val="0040642C"/>
    <w:rsid w:val="00436A4C"/>
    <w:rsid w:val="00446D63"/>
    <w:rsid w:val="0046149B"/>
    <w:rsid w:val="00462C7E"/>
    <w:rsid w:val="0046446E"/>
    <w:rsid w:val="004738BB"/>
    <w:rsid w:val="00482390"/>
    <w:rsid w:val="004B383B"/>
    <w:rsid w:val="004C3AB4"/>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B3E1B"/>
    <w:rsid w:val="005D6CE1"/>
    <w:rsid w:val="005E5754"/>
    <w:rsid w:val="005F1592"/>
    <w:rsid w:val="0061004C"/>
    <w:rsid w:val="00636F2B"/>
    <w:rsid w:val="0064032B"/>
    <w:rsid w:val="00642172"/>
    <w:rsid w:val="006553F8"/>
    <w:rsid w:val="00665468"/>
    <w:rsid w:val="006721A2"/>
    <w:rsid w:val="006907C7"/>
    <w:rsid w:val="006A40D4"/>
    <w:rsid w:val="006B3C45"/>
    <w:rsid w:val="006B42D5"/>
    <w:rsid w:val="006C5923"/>
    <w:rsid w:val="006D6E3F"/>
    <w:rsid w:val="006E0136"/>
    <w:rsid w:val="006E2406"/>
    <w:rsid w:val="006E2456"/>
    <w:rsid w:val="006F10E8"/>
    <w:rsid w:val="00705271"/>
    <w:rsid w:val="007101BD"/>
    <w:rsid w:val="00730B9F"/>
    <w:rsid w:val="00732D94"/>
    <w:rsid w:val="00742AF7"/>
    <w:rsid w:val="00745426"/>
    <w:rsid w:val="00776717"/>
    <w:rsid w:val="0078379F"/>
    <w:rsid w:val="007C3D28"/>
    <w:rsid w:val="007C6672"/>
    <w:rsid w:val="007D08E4"/>
    <w:rsid w:val="007D2307"/>
    <w:rsid w:val="007D4F35"/>
    <w:rsid w:val="007D78FE"/>
    <w:rsid w:val="007D7EE6"/>
    <w:rsid w:val="007E0D13"/>
    <w:rsid w:val="00801466"/>
    <w:rsid w:val="008249CB"/>
    <w:rsid w:val="008333DF"/>
    <w:rsid w:val="00836C2D"/>
    <w:rsid w:val="0085667F"/>
    <w:rsid w:val="00875314"/>
    <w:rsid w:val="008B7EDE"/>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E40B6"/>
    <w:rsid w:val="009E4EDE"/>
    <w:rsid w:val="00A41029"/>
    <w:rsid w:val="00A87F37"/>
    <w:rsid w:val="00A90745"/>
    <w:rsid w:val="00A94489"/>
    <w:rsid w:val="00A95F2E"/>
    <w:rsid w:val="00A974F7"/>
    <w:rsid w:val="00AC3953"/>
    <w:rsid w:val="00AC6428"/>
    <w:rsid w:val="00AD2F9F"/>
    <w:rsid w:val="00AD4D1A"/>
    <w:rsid w:val="00AE6D0D"/>
    <w:rsid w:val="00AF4C3C"/>
    <w:rsid w:val="00B04998"/>
    <w:rsid w:val="00B134F8"/>
    <w:rsid w:val="00B21B1C"/>
    <w:rsid w:val="00B2702E"/>
    <w:rsid w:val="00B2705A"/>
    <w:rsid w:val="00B37053"/>
    <w:rsid w:val="00B50D75"/>
    <w:rsid w:val="00B72739"/>
    <w:rsid w:val="00B77D2C"/>
    <w:rsid w:val="00B82144"/>
    <w:rsid w:val="00B878EB"/>
    <w:rsid w:val="00BA4520"/>
    <w:rsid w:val="00BE2E55"/>
    <w:rsid w:val="00BF7431"/>
    <w:rsid w:val="00C27116"/>
    <w:rsid w:val="00C512F8"/>
    <w:rsid w:val="00C6053C"/>
    <w:rsid w:val="00C93CC6"/>
    <w:rsid w:val="00C942A7"/>
    <w:rsid w:val="00CA6A16"/>
    <w:rsid w:val="00CB27F1"/>
    <w:rsid w:val="00CC0269"/>
    <w:rsid w:val="00CC4140"/>
    <w:rsid w:val="00CF4C32"/>
    <w:rsid w:val="00D00FD8"/>
    <w:rsid w:val="00D1683A"/>
    <w:rsid w:val="00D2276C"/>
    <w:rsid w:val="00D52688"/>
    <w:rsid w:val="00D657AB"/>
    <w:rsid w:val="00D7342D"/>
    <w:rsid w:val="00D832DD"/>
    <w:rsid w:val="00DA7ED3"/>
    <w:rsid w:val="00DD5EB3"/>
    <w:rsid w:val="00DE4E0D"/>
    <w:rsid w:val="00DF02A5"/>
    <w:rsid w:val="00E02E9A"/>
    <w:rsid w:val="00E0486B"/>
    <w:rsid w:val="00E338BF"/>
    <w:rsid w:val="00E6219D"/>
    <w:rsid w:val="00E71259"/>
    <w:rsid w:val="00E7685F"/>
    <w:rsid w:val="00EB5A2D"/>
    <w:rsid w:val="00EB62C4"/>
    <w:rsid w:val="00ED361B"/>
    <w:rsid w:val="00EE7BE1"/>
    <w:rsid w:val="00F062B0"/>
    <w:rsid w:val="00F103AF"/>
    <w:rsid w:val="00F23353"/>
    <w:rsid w:val="00F40073"/>
    <w:rsid w:val="00F400EA"/>
    <w:rsid w:val="00F559B2"/>
    <w:rsid w:val="00F66B1E"/>
    <w:rsid w:val="00F83977"/>
    <w:rsid w:val="00F97F06"/>
    <w:rsid w:val="00FA3F12"/>
    <w:rsid w:val="00FA4EDB"/>
    <w:rsid w:val="00FA6E21"/>
    <w:rsid w:val="00FB2DCF"/>
    <w:rsid w:val="00FB4A59"/>
    <w:rsid w:val="00FC459B"/>
    <w:rsid w:val="00FC6AD4"/>
    <w:rsid w:val="00FD1C83"/>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 w:type="paragraph" w:styleId="ListParagraph">
    <w:name w:val="List Paragraph"/>
    <w:basedOn w:val="Normal"/>
    <w:uiPriority w:val="34"/>
    <w:qFormat/>
    <w:rsid w:val="00B270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1/relationships/people" Target="peop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nyx</cp:lastModifiedBy>
  <cp:revision>6</cp:revision>
  <dcterms:created xsi:type="dcterms:W3CDTF">2026-05-06T00:22:00Z</dcterms:created>
  <dcterms:modified xsi:type="dcterms:W3CDTF">2026-05-06T00:38:00Z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