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B10FE"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0307E0A1"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604139BB"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4150B272"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4FDAA564"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1207CF56"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50A9E032"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200AC2B8"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57DCDD8A"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r w:rsidRPr="001A41FD">
        <w:rPr>
          <w:rFonts w:ascii="Times New Roman" w:eastAsia="Times New Roman" w:hAnsi="Times New Roman" w:cs="Times New Roman"/>
          <w:b/>
          <w:bCs/>
          <w:sz w:val="24"/>
          <w:szCs w:val="24"/>
        </w:rPr>
        <w:t>The Tuskegee Syphilis Study: An Examination of Unethical Research</w:t>
      </w:r>
    </w:p>
    <w:p w14:paraId="4F2BE906" w14:textId="77777777" w:rsidR="001A41FD" w:rsidRP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6297689D" w14:textId="77777777" w:rsidR="001A41FD" w:rsidRPr="001A41FD" w:rsidRDefault="001A41FD" w:rsidP="001A41FD">
      <w:pPr>
        <w:spacing w:after="0" w:line="480" w:lineRule="auto"/>
        <w:contextualSpacing/>
        <w:jc w:val="center"/>
        <w:outlineLvl w:val="1"/>
        <w:rPr>
          <w:rFonts w:ascii="Times New Roman" w:eastAsia="Times New Roman" w:hAnsi="Times New Roman" w:cs="Times New Roman"/>
          <w:bCs/>
          <w:sz w:val="24"/>
          <w:szCs w:val="24"/>
        </w:rPr>
      </w:pPr>
      <w:r w:rsidRPr="001A41FD">
        <w:rPr>
          <w:rFonts w:ascii="Times New Roman" w:eastAsia="Times New Roman" w:hAnsi="Times New Roman" w:cs="Times New Roman"/>
          <w:bCs/>
          <w:sz w:val="24"/>
          <w:szCs w:val="24"/>
        </w:rPr>
        <w:t xml:space="preserve">Student Name </w:t>
      </w:r>
    </w:p>
    <w:p w14:paraId="65953C47" w14:textId="77777777" w:rsidR="001A41FD" w:rsidRPr="001A41FD" w:rsidRDefault="001A41FD" w:rsidP="001A41FD">
      <w:pPr>
        <w:spacing w:after="0" w:line="480" w:lineRule="auto"/>
        <w:contextualSpacing/>
        <w:jc w:val="center"/>
        <w:outlineLvl w:val="1"/>
        <w:rPr>
          <w:rFonts w:ascii="Times New Roman" w:eastAsia="Times New Roman" w:hAnsi="Times New Roman" w:cs="Times New Roman"/>
          <w:bCs/>
          <w:sz w:val="24"/>
          <w:szCs w:val="24"/>
        </w:rPr>
      </w:pPr>
      <w:r w:rsidRPr="001A41FD">
        <w:rPr>
          <w:rFonts w:ascii="Times New Roman" w:eastAsia="Times New Roman" w:hAnsi="Times New Roman" w:cs="Times New Roman"/>
          <w:bCs/>
          <w:sz w:val="24"/>
          <w:szCs w:val="24"/>
        </w:rPr>
        <w:t xml:space="preserve">Course Name </w:t>
      </w:r>
    </w:p>
    <w:p w14:paraId="2936698E" w14:textId="77777777" w:rsidR="001A41FD" w:rsidRPr="001A41FD" w:rsidRDefault="001A41FD" w:rsidP="001A41FD">
      <w:pPr>
        <w:spacing w:after="0" w:line="480" w:lineRule="auto"/>
        <w:contextualSpacing/>
        <w:jc w:val="center"/>
        <w:outlineLvl w:val="1"/>
        <w:rPr>
          <w:rFonts w:ascii="Times New Roman" w:eastAsia="Times New Roman" w:hAnsi="Times New Roman" w:cs="Times New Roman"/>
          <w:bCs/>
          <w:sz w:val="24"/>
          <w:szCs w:val="24"/>
        </w:rPr>
      </w:pPr>
      <w:r w:rsidRPr="001A41FD">
        <w:rPr>
          <w:rFonts w:ascii="Times New Roman" w:eastAsia="Times New Roman" w:hAnsi="Times New Roman" w:cs="Times New Roman"/>
          <w:bCs/>
          <w:sz w:val="24"/>
          <w:szCs w:val="24"/>
        </w:rPr>
        <w:t>Department Name</w:t>
      </w:r>
    </w:p>
    <w:p w14:paraId="277C266F" w14:textId="77777777" w:rsidR="001A41FD" w:rsidRPr="001A41FD" w:rsidRDefault="001A41FD" w:rsidP="001A41FD">
      <w:pPr>
        <w:spacing w:after="0" w:line="480" w:lineRule="auto"/>
        <w:contextualSpacing/>
        <w:jc w:val="center"/>
        <w:outlineLvl w:val="1"/>
        <w:rPr>
          <w:rFonts w:ascii="Times New Roman" w:eastAsia="Times New Roman" w:hAnsi="Times New Roman" w:cs="Times New Roman"/>
          <w:bCs/>
          <w:sz w:val="24"/>
          <w:szCs w:val="24"/>
        </w:rPr>
      </w:pPr>
      <w:r w:rsidRPr="001A41FD">
        <w:rPr>
          <w:rFonts w:ascii="Times New Roman" w:eastAsia="Times New Roman" w:hAnsi="Times New Roman" w:cs="Times New Roman"/>
          <w:bCs/>
          <w:sz w:val="24"/>
          <w:szCs w:val="24"/>
        </w:rPr>
        <w:t xml:space="preserve">Date </w:t>
      </w:r>
    </w:p>
    <w:p w14:paraId="60DB2C7D" w14:textId="77777777" w:rsidR="001A41FD" w:rsidRPr="001A41FD" w:rsidRDefault="001A41FD" w:rsidP="001A41FD">
      <w:pPr>
        <w:spacing w:after="0" w:line="480" w:lineRule="auto"/>
        <w:contextualSpacing/>
        <w:jc w:val="center"/>
        <w:outlineLvl w:val="1"/>
        <w:rPr>
          <w:rFonts w:ascii="Times New Roman" w:eastAsia="Times New Roman" w:hAnsi="Times New Roman" w:cs="Times New Roman"/>
          <w:bCs/>
          <w:sz w:val="24"/>
          <w:szCs w:val="24"/>
        </w:rPr>
      </w:pPr>
    </w:p>
    <w:p w14:paraId="5346B224"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5A2CFD26"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0AF86E21"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77A59ADD"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2732F6F0"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69382954"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2A967B0C"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69FB34AD" w14:textId="77777777"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14:paraId="6520CF53" w14:textId="77777777" w:rsidR="001A41FD" w:rsidRP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r w:rsidRPr="001A41FD">
        <w:rPr>
          <w:rFonts w:ascii="Times New Roman" w:eastAsia="Times New Roman" w:hAnsi="Times New Roman" w:cs="Times New Roman"/>
          <w:b/>
          <w:bCs/>
          <w:sz w:val="24"/>
          <w:szCs w:val="24"/>
        </w:rPr>
        <w:lastRenderedPageBreak/>
        <w:t>The Tuskegee Syphilis Study: An Examination of Unethical Researc</w:t>
      </w:r>
      <w:commentRangeStart w:id="0"/>
      <w:r w:rsidRPr="001A41FD">
        <w:rPr>
          <w:rFonts w:ascii="Times New Roman" w:eastAsia="Times New Roman" w:hAnsi="Times New Roman" w:cs="Times New Roman"/>
          <w:b/>
          <w:bCs/>
          <w:sz w:val="24"/>
          <w:szCs w:val="24"/>
        </w:rPr>
        <w:t>h</w:t>
      </w:r>
      <w:commentRangeEnd w:id="0"/>
      <w:r w:rsidR="00326D4E" w:rsidRPr="001A41FD">
        <w:rPr>
          <w:rStyle w:val="CommentReference"/>
          <w:rFonts w:ascii="Times New Roman" w:eastAsia="Times New Roman" w:hAnsi="Times New Roman" w:cs="Times New Roman"/>
          <w:b/>
          <w:bCs/>
          <w:sz w:val="24"/>
          <w:szCs w:val="24"/>
        </w:rPr>
        <w:commentReference w:id="0"/>
      </w:r>
    </w:p>
    <w:p w14:paraId="36BE945F" w14:textId="77777777" w:rsidR="001A41FD" w:rsidRPr="001A41FD" w:rsidRDefault="001A41FD" w:rsidP="001A41FD">
      <w:pPr>
        <w:spacing w:after="0" w:line="480" w:lineRule="auto"/>
        <w:contextualSpacing/>
        <w:jc w:val="center"/>
        <w:rPr>
          <w:rFonts w:ascii="Times New Roman" w:eastAsia="Times New Roman" w:hAnsi="Times New Roman" w:cs="Times New Roman"/>
          <w:sz w:val="24"/>
          <w:szCs w:val="24"/>
        </w:rPr>
      </w:pPr>
      <w:r w:rsidRPr="001A41FD">
        <w:rPr>
          <w:rFonts w:ascii="Times New Roman" w:eastAsia="Times New Roman" w:hAnsi="Times New Roman" w:cs="Times New Roman"/>
          <w:b/>
          <w:bCs/>
          <w:sz w:val="24"/>
          <w:szCs w:val="24"/>
        </w:rPr>
        <w:t>Description</w:t>
      </w:r>
    </w:p>
    <w:p w14:paraId="484EC598" w14:textId="77777777" w:rsidR="001A41FD" w:rsidRPr="001A41FD" w:rsidRDefault="001A41FD" w:rsidP="001A41FD">
      <w:pPr>
        <w:spacing w:after="0" w:line="480" w:lineRule="auto"/>
        <w:ind w:firstLine="720"/>
        <w:contextualSpacing/>
        <w:rPr>
          <w:rFonts w:ascii="Times New Roman" w:eastAsia="Times New Roman" w:hAnsi="Times New Roman" w:cs="Times New Roman"/>
          <w:sz w:val="24"/>
          <w:szCs w:val="24"/>
        </w:rPr>
      </w:pPr>
      <w:r w:rsidRPr="001A41FD">
        <w:rPr>
          <w:rFonts w:ascii="Times New Roman" w:eastAsia="Times New Roman" w:hAnsi="Times New Roman" w:cs="Times New Roman"/>
          <w:sz w:val="24"/>
          <w:szCs w:val="24"/>
        </w:rPr>
        <w:t xml:space="preserve">The Tuskegee Syphilis Study, also referred to as the Tuskegee Study of Untreated Syphilis in the Negro Male, is one of the most infamous cases of unethical research in American history. Starting in 1932 and lasting 40 years until its public release in 1972, the study recruited 399 Black men with syphilis and 201 uninfected controls into the study within Macon County, Alabama (Tobin, 2022). The participants were mostly poor, </w:t>
      </w:r>
      <w:commentRangeStart w:id="1"/>
      <w:r w:rsidRPr="001A41FD">
        <w:rPr>
          <w:rFonts w:ascii="Times New Roman" w:eastAsia="Times New Roman" w:hAnsi="Times New Roman" w:cs="Times New Roman"/>
          <w:sz w:val="24"/>
          <w:szCs w:val="24"/>
        </w:rPr>
        <w:t xml:space="preserve">rural </w:t>
      </w:r>
      <w:commentRangeEnd w:id="1"/>
      <w:r w:rsidR="00D42DAF" w:rsidRPr="001A41FD">
        <w:rPr>
          <w:rStyle w:val="CommentReference"/>
          <w:rFonts w:ascii="Times New Roman" w:eastAsia="Times New Roman" w:hAnsi="Times New Roman" w:cs="Times New Roman"/>
          <w:sz w:val="24"/>
          <w:szCs w:val="24"/>
        </w:rPr>
        <w:commentReference w:id="1"/>
      </w:r>
      <w:r w:rsidRPr="001A41FD">
        <w:rPr>
          <w:rFonts w:ascii="Times New Roman" w:eastAsia="Times New Roman" w:hAnsi="Times New Roman" w:cs="Times New Roman"/>
          <w:sz w:val="24"/>
          <w:szCs w:val="24"/>
        </w:rPr>
        <w:t xml:space="preserve">and had little access to formal education or healthcare. </w:t>
      </w:r>
      <w:commentRangeStart w:id="2"/>
      <w:r w:rsidRPr="001A41FD">
        <w:rPr>
          <w:rFonts w:ascii="Times New Roman" w:eastAsia="Times New Roman" w:hAnsi="Times New Roman" w:cs="Times New Roman"/>
          <w:sz w:val="24"/>
          <w:szCs w:val="24"/>
        </w:rPr>
        <w:t>The true nature of the study was hidden from the participants, who were told they were being treated for bad blood, a local term that implies a variety of ailments</w:t>
      </w:r>
      <w:commentRangeEnd w:id="2"/>
      <w:r w:rsidR="005E0277" w:rsidRPr="001A41FD">
        <w:rPr>
          <w:rStyle w:val="CommentReference"/>
          <w:rFonts w:ascii="Times New Roman" w:eastAsia="Times New Roman" w:hAnsi="Times New Roman" w:cs="Times New Roman"/>
          <w:sz w:val="24"/>
          <w:szCs w:val="24"/>
        </w:rPr>
        <w:commentReference w:id="2"/>
      </w:r>
      <w:r w:rsidRPr="001A41FD">
        <w:rPr>
          <w:rFonts w:ascii="Times New Roman" w:eastAsia="Times New Roman" w:hAnsi="Times New Roman" w:cs="Times New Roman"/>
          <w:sz w:val="24"/>
          <w:szCs w:val="24"/>
        </w:rPr>
        <w:t>. Importantly, although penicillin was already the norm in 1947, when the disease was finally cured (syphilis), the men were left untreated to allow the researchers to observe the natural course of the disease (Reverby, 2022). Only when a whistleblower gave information to the press did the study stop, sparking national outrage</w:t>
      </w:r>
      <w:commentRangeStart w:id="3"/>
      <w:r w:rsidRPr="001A41FD">
        <w:rPr>
          <w:rFonts w:ascii="Times New Roman" w:eastAsia="Times New Roman" w:hAnsi="Times New Roman" w:cs="Times New Roman"/>
          <w:sz w:val="24"/>
          <w:szCs w:val="24"/>
        </w:rPr>
        <w:t>.</w:t>
      </w:r>
      <w:commentRangeEnd w:id="3"/>
      <w:r w:rsidR="0094720B" w:rsidRPr="001A41FD">
        <w:rPr>
          <w:rStyle w:val="CommentReference"/>
          <w:rFonts w:ascii="Times New Roman" w:eastAsia="Times New Roman" w:hAnsi="Times New Roman" w:cs="Times New Roman"/>
          <w:sz w:val="24"/>
          <w:szCs w:val="24"/>
        </w:rPr>
        <w:commentReference w:id="3"/>
      </w:r>
    </w:p>
    <w:p w14:paraId="10FF4432" w14:textId="77777777" w:rsidR="001A41FD" w:rsidRPr="001A41FD" w:rsidRDefault="001A41FD" w:rsidP="001A41FD">
      <w:pPr>
        <w:spacing w:after="0" w:line="480" w:lineRule="auto"/>
        <w:contextualSpacing/>
        <w:jc w:val="center"/>
        <w:rPr>
          <w:rFonts w:ascii="Times New Roman" w:eastAsia="Times New Roman" w:hAnsi="Times New Roman" w:cs="Times New Roman"/>
          <w:sz w:val="24"/>
          <w:szCs w:val="24"/>
        </w:rPr>
      </w:pPr>
      <w:r w:rsidRPr="001A41FD">
        <w:rPr>
          <w:rFonts w:ascii="Times New Roman" w:eastAsia="Times New Roman" w:hAnsi="Times New Roman" w:cs="Times New Roman"/>
          <w:b/>
          <w:bCs/>
          <w:sz w:val="24"/>
          <w:szCs w:val="24"/>
        </w:rPr>
        <w:t>Consequences</w:t>
      </w:r>
    </w:p>
    <w:p w14:paraId="2BE7DBD3" w14:textId="77777777" w:rsidR="001A41FD" w:rsidRPr="001A41FD" w:rsidRDefault="001A41FD" w:rsidP="001A41FD">
      <w:pPr>
        <w:spacing w:after="0" w:line="480" w:lineRule="auto"/>
        <w:ind w:firstLine="720"/>
        <w:contextualSpacing/>
        <w:rPr>
          <w:rFonts w:ascii="Times New Roman" w:eastAsia="Times New Roman" w:hAnsi="Times New Roman" w:cs="Times New Roman"/>
          <w:sz w:val="24"/>
          <w:szCs w:val="24"/>
        </w:rPr>
      </w:pPr>
      <w:r w:rsidRPr="001A41FD">
        <w:rPr>
          <w:rFonts w:ascii="Times New Roman" w:eastAsia="Times New Roman" w:hAnsi="Times New Roman" w:cs="Times New Roman"/>
          <w:sz w:val="24"/>
          <w:szCs w:val="24"/>
        </w:rPr>
        <w:t xml:space="preserve">The implications for the participants were dire and extensive. </w:t>
      </w:r>
      <w:commentRangeStart w:id="4"/>
      <w:r w:rsidRPr="001A41FD">
        <w:rPr>
          <w:rFonts w:ascii="Times New Roman" w:eastAsia="Times New Roman" w:hAnsi="Times New Roman" w:cs="Times New Roman"/>
          <w:sz w:val="24"/>
          <w:szCs w:val="24"/>
        </w:rPr>
        <w:t>Uncured syphilis led to debilitating complications among many men, such as cardiovascular disease, neurological degeneration and early death. They had unknowingly infected their wives, and some were born with congenital syphilis</w:t>
      </w:r>
      <w:commentRangeEnd w:id="4"/>
      <w:r w:rsidR="008C2B78" w:rsidRPr="001A41FD">
        <w:rPr>
          <w:rStyle w:val="CommentReference"/>
          <w:rFonts w:ascii="Times New Roman" w:eastAsia="Times New Roman" w:hAnsi="Times New Roman" w:cs="Times New Roman"/>
          <w:sz w:val="24"/>
          <w:szCs w:val="24"/>
        </w:rPr>
        <w:commentReference w:id="4"/>
      </w:r>
      <w:r w:rsidRPr="001A41FD">
        <w:rPr>
          <w:rFonts w:ascii="Times New Roman" w:eastAsia="Times New Roman" w:hAnsi="Times New Roman" w:cs="Times New Roman"/>
          <w:sz w:val="24"/>
          <w:szCs w:val="24"/>
        </w:rPr>
        <w:t xml:space="preserve">. In addition to the physical damage, the research triggered a permanent psychological trauma and spawned profound, intergenerational distrust of the medical and research institutions among African Americans (Tobin, 2022). This distrust has produced quantifiable downstream impacts on health care-seeking behavior and readiness to engage in clinical research, which were still evident decades later, such as lower COVID-19 vaccination </w:t>
      </w:r>
      <w:r w:rsidRPr="001A41FD">
        <w:rPr>
          <w:rFonts w:ascii="Times New Roman" w:eastAsia="Times New Roman" w:hAnsi="Times New Roman" w:cs="Times New Roman"/>
          <w:sz w:val="24"/>
          <w:szCs w:val="24"/>
        </w:rPr>
        <w:lastRenderedPageBreak/>
        <w:t>rates among Black Americans (</w:t>
      </w:r>
      <w:commentRangeStart w:id="5"/>
      <w:r w:rsidRPr="001A41FD">
        <w:rPr>
          <w:rFonts w:ascii="Times New Roman" w:eastAsia="Times New Roman" w:hAnsi="Times New Roman" w:cs="Times New Roman"/>
          <w:sz w:val="24"/>
          <w:szCs w:val="24"/>
        </w:rPr>
        <w:t>Sewaralthahab et al., 2025</w:t>
      </w:r>
      <w:commentRangeEnd w:id="5"/>
      <w:r w:rsidR="00833D71" w:rsidRPr="001A41FD">
        <w:rPr>
          <w:rStyle w:val="CommentReference"/>
          <w:rFonts w:ascii="Times New Roman" w:eastAsia="Times New Roman" w:hAnsi="Times New Roman" w:cs="Times New Roman"/>
          <w:sz w:val="24"/>
          <w:szCs w:val="24"/>
        </w:rPr>
        <w:commentReference w:id="5"/>
      </w:r>
      <w:r w:rsidRPr="001A41FD">
        <w:rPr>
          <w:rFonts w:ascii="Times New Roman" w:eastAsia="Times New Roman" w:hAnsi="Times New Roman" w:cs="Times New Roman"/>
          <w:sz w:val="24"/>
          <w:szCs w:val="24"/>
        </w:rPr>
        <w:t>). In 1997, President Bill Clinton officially apologized to survivors, noting the study's great moral failure</w:t>
      </w:r>
      <w:commentRangeStart w:id="6"/>
      <w:r w:rsidRPr="001A41FD">
        <w:rPr>
          <w:rFonts w:ascii="Times New Roman" w:eastAsia="Times New Roman" w:hAnsi="Times New Roman" w:cs="Times New Roman"/>
          <w:sz w:val="24"/>
          <w:szCs w:val="24"/>
        </w:rPr>
        <w:t>.</w:t>
      </w:r>
      <w:commentRangeEnd w:id="6"/>
      <w:r w:rsidR="00833D71" w:rsidRPr="001A41FD">
        <w:rPr>
          <w:rStyle w:val="CommentReference"/>
          <w:rFonts w:ascii="Times New Roman" w:eastAsia="Times New Roman" w:hAnsi="Times New Roman" w:cs="Times New Roman"/>
          <w:sz w:val="24"/>
          <w:szCs w:val="24"/>
        </w:rPr>
        <w:commentReference w:id="6"/>
      </w:r>
    </w:p>
    <w:p w14:paraId="78E90730" w14:textId="77777777" w:rsidR="001A41FD" w:rsidRPr="001A41FD" w:rsidRDefault="001A41FD" w:rsidP="001A41FD">
      <w:pPr>
        <w:spacing w:after="0" w:line="480" w:lineRule="auto"/>
        <w:contextualSpacing/>
        <w:jc w:val="center"/>
        <w:rPr>
          <w:rFonts w:ascii="Times New Roman" w:eastAsia="Times New Roman" w:hAnsi="Times New Roman" w:cs="Times New Roman"/>
          <w:sz w:val="24"/>
          <w:szCs w:val="24"/>
        </w:rPr>
      </w:pPr>
      <w:r w:rsidRPr="001A41FD">
        <w:rPr>
          <w:rFonts w:ascii="Times New Roman" w:eastAsia="Times New Roman" w:hAnsi="Times New Roman" w:cs="Times New Roman"/>
          <w:b/>
          <w:bCs/>
          <w:sz w:val="24"/>
          <w:szCs w:val="24"/>
        </w:rPr>
        <w:t xml:space="preserve">Ethical and </w:t>
      </w:r>
      <w:commentRangeStart w:id="7"/>
      <w:r w:rsidRPr="001A41FD">
        <w:rPr>
          <w:rFonts w:ascii="Times New Roman" w:eastAsia="Times New Roman" w:hAnsi="Times New Roman" w:cs="Times New Roman"/>
          <w:b/>
          <w:bCs/>
          <w:sz w:val="24"/>
          <w:szCs w:val="24"/>
        </w:rPr>
        <w:t>Legal Issues</w:t>
      </w:r>
      <w:commentRangeEnd w:id="7"/>
      <w:r w:rsidR="007B7EF7" w:rsidRPr="001A41FD">
        <w:rPr>
          <w:rStyle w:val="CommentReference"/>
          <w:rFonts w:ascii="Times New Roman" w:eastAsia="Times New Roman" w:hAnsi="Times New Roman" w:cs="Times New Roman"/>
          <w:sz w:val="24"/>
          <w:szCs w:val="24"/>
        </w:rPr>
        <w:commentReference w:id="7"/>
      </w:r>
    </w:p>
    <w:p w14:paraId="1EC5BEF7" w14:textId="77777777" w:rsidR="001A41FD" w:rsidRPr="001A41FD" w:rsidRDefault="001A41FD" w:rsidP="001A41FD">
      <w:pPr>
        <w:spacing w:after="0" w:line="480" w:lineRule="auto"/>
        <w:ind w:firstLine="720"/>
        <w:contextualSpacing/>
        <w:rPr>
          <w:rFonts w:ascii="Times New Roman" w:eastAsia="Times New Roman" w:hAnsi="Times New Roman" w:cs="Times New Roman"/>
          <w:sz w:val="24"/>
          <w:szCs w:val="24"/>
        </w:rPr>
      </w:pPr>
      <w:r w:rsidRPr="001A41FD">
        <w:rPr>
          <w:rFonts w:ascii="Times New Roman" w:eastAsia="Times New Roman" w:hAnsi="Times New Roman" w:cs="Times New Roman"/>
          <w:sz w:val="24"/>
          <w:szCs w:val="24"/>
        </w:rPr>
        <w:t xml:space="preserve">The Tuskegee Study contravened many ethical and legal principles of human research. </w:t>
      </w:r>
      <w:commentRangeStart w:id="8"/>
      <w:r w:rsidRPr="001A41FD">
        <w:rPr>
          <w:rFonts w:ascii="Times New Roman" w:eastAsia="Times New Roman" w:hAnsi="Times New Roman" w:cs="Times New Roman"/>
          <w:sz w:val="24"/>
          <w:szCs w:val="24"/>
        </w:rPr>
        <w:t>Most importantly, they never informed consent was taken out</w:t>
      </w:r>
      <w:commentRangeEnd w:id="8"/>
      <w:r w:rsidR="00320397" w:rsidRPr="001A41FD">
        <w:rPr>
          <w:rStyle w:val="CommentReference"/>
          <w:rFonts w:ascii="Times New Roman" w:eastAsia="Times New Roman" w:hAnsi="Times New Roman" w:cs="Times New Roman"/>
          <w:sz w:val="24"/>
          <w:szCs w:val="24"/>
        </w:rPr>
        <w:commentReference w:id="8"/>
      </w:r>
      <w:r w:rsidRPr="001A41FD">
        <w:rPr>
          <w:rFonts w:ascii="Times New Roman" w:eastAsia="Times New Roman" w:hAnsi="Times New Roman" w:cs="Times New Roman"/>
          <w:sz w:val="24"/>
          <w:szCs w:val="24"/>
        </w:rPr>
        <w:t>, participants were never informed that they had syphilis, and they were not informed of the actual intentions of the study</w:t>
      </w:r>
      <w:commentRangeStart w:id="9"/>
      <w:r w:rsidRPr="001A41FD">
        <w:rPr>
          <w:rFonts w:ascii="Times New Roman" w:eastAsia="Times New Roman" w:hAnsi="Times New Roman" w:cs="Times New Roman"/>
          <w:sz w:val="24"/>
          <w:szCs w:val="24"/>
        </w:rPr>
        <w:t>. Active deceit was perpetrated upon them regarding their treatment</w:t>
      </w:r>
      <w:commentRangeEnd w:id="9"/>
      <w:r w:rsidR="00320397" w:rsidRPr="001A41FD">
        <w:rPr>
          <w:rStyle w:val="CommentReference"/>
          <w:rFonts w:ascii="Times New Roman" w:eastAsia="Times New Roman" w:hAnsi="Times New Roman" w:cs="Times New Roman"/>
          <w:sz w:val="24"/>
          <w:szCs w:val="24"/>
        </w:rPr>
        <w:commentReference w:id="9"/>
      </w:r>
      <w:r w:rsidRPr="001A41FD">
        <w:rPr>
          <w:rFonts w:ascii="Times New Roman" w:eastAsia="Times New Roman" w:hAnsi="Times New Roman" w:cs="Times New Roman"/>
          <w:sz w:val="24"/>
          <w:szCs w:val="24"/>
        </w:rPr>
        <w:t xml:space="preserve"> (Reverby, 2022). </w:t>
      </w:r>
      <w:commentRangeStart w:id="10"/>
      <w:r w:rsidRPr="001A41FD">
        <w:rPr>
          <w:rFonts w:ascii="Times New Roman" w:eastAsia="Times New Roman" w:hAnsi="Times New Roman" w:cs="Times New Roman"/>
          <w:sz w:val="24"/>
          <w:szCs w:val="24"/>
        </w:rPr>
        <w:t>Even researchers have withheld a known, existing cure, causing harm continuously and preventably</w:t>
      </w:r>
      <w:commentRangeEnd w:id="10"/>
      <w:r w:rsidR="00320397" w:rsidRPr="001A41FD">
        <w:rPr>
          <w:rStyle w:val="CommentReference"/>
          <w:rFonts w:ascii="Times New Roman" w:eastAsia="Times New Roman" w:hAnsi="Times New Roman" w:cs="Times New Roman"/>
          <w:sz w:val="24"/>
          <w:szCs w:val="24"/>
        </w:rPr>
        <w:commentReference w:id="10"/>
      </w:r>
      <w:r w:rsidRPr="001A41FD">
        <w:rPr>
          <w:rFonts w:ascii="Times New Roman" w:eastAsia="Times New Roman" w:hAnsi="Times New Roman" w:cs="Times New Roman"/>
          <w:sz w:val="24"/>
          <w:szCs w:val="24"/>
        </w:rPr>
        <w:t>. This was a direct breach of the principles of beneficence and non-maleficence. Moreover, the active pre-selection and exploitation of a vulnerable, economically disadvantaged black population in the racially segregated South shows how unethical use of social, political and cultural power inequality in research. Those researchers who wielded institutional power bore the full legal and moral responsibility for the pain and suffering inflicted on the subjects of the experiment.</w:t>
      </w:r>
    </w:p>
    <w:p w14:paraId="233BCD65" w14:textId="77777777" w:rsidR="001A41FD" w:rsidRPr="001A41FD" w:rsidRDefault="001A41FD" w:rsidP="001A41FD">
      <w:pPr>
        <w:spacing w:after="0" w:line="480" w:lineRule="auto"/>
        <w:contextualSpacing/>
        <w:jc w:val="center"/>
        <w:rPr>
          <w:rFonts w:ascii="Times New Roman" w:eastAsia="Times New Roman" w:hAnsi="Times New Roman" w:cs="Times New Roman"/>
          <w:sz w:val="24"/>
          <w:szCs w:val="24"/>
        </w:rPr>
      </w:pPr>
      <w:r w:rsidRPr="001A41FD">
        <w:rPr>
          <w:rFonts w:ascii="Times New Roman" w:eastAsia="Times New Roman" w:hAnsi="Times New Roman" w:cs="Times New Roman"/>
          <w:b/>
          <w:bCs/>
          <w:sz w:val="24"/>
          <w:szCs w:val="24"/>
        </w:rPr>
        <w:t>Ethics Research Practices a</w:t>
      </w:r>
      <w:r>
        <w:rPr>
          <w:rFonts w:ascii="Times New Roman" w:eastAsia="Times New Roman" w:hAnsi="Times New Roman" w:cs="Times New Roman"/>
          <w:b/>
          <w:bCs/>
          <w:sz w:val="24"/>
          <w:szCs w:val="24"/>
        </w:rPr>
        <w:t>nd Procedures of the Modern Day</w:t>
      </w:r>
    </w:p>
    <w:p w14:paraId="48434FFE" w14:textId="77777777" w:rsidR="001A41FD" w:rsidRPr="001A41FD" w:rsidRDefault="001A41FD" w:rsidP="001A41FD">
      <w:pPr>
        <w:spacing w:after="0" w:line="480" w:lineRule="auto"/>
        <w:ind w:firstLine="720"/>
        <w:contextualSpacing/>
        <w:rPr>
          <w:rFonts w:ascii="Times New Roman" w:eastAsia="Times New Roman" w:hAnsi="Times New Roman" w:cs="Times New Roman"/>
          <w:sz w:val="24"/>
          <w:szCs w:val="24"/>
        </w:rPr>
      </w:pPr>
      <w:r w:rsidRPr="001A41FD">
        <w:rPr>
          <w:rFonts w:ascii="Times New Roman" w:eastAsia="Times New Roman" w:hAnsi="Times New Roman" w:cs="Times New Roman"/>
          <w:sz w:val="24"/>
          <w:szCs w:val="24"/>
        </w:rPr>
        <w:t xml:space="preserve">The Tuskegee Study </w:t>
      </w:r>
      <w:commentRangeStart w:id="11"/>
      <w:r w:rsidRPr="001A41FD">
        <w:rPr>
          <w:rFonts w:ascii="Times New Roman" w:eastAsia="Times New Roman" w:hAnsi="Times New Roman" w:cs="Times New Roman"/>
          <w:sz w:val="24"/>
          <w:szCs w:val="24"/>
        </w:rPr>
        <w:t>was a potent impetus to radical change in research ethics</w:t>
      </w:r>
      <w:commentRangeEnd w:id="11"/>
      <w:r w:rsidR="00F17034" w:rsidRPr="001A41FD">
        <w:rPr>
          <w:rStyle w:val="CommentReference"/>
          <w:rFonts w:ascii="Times New Roman" w:eastAsia="Times New Roman" w:hAnsi="Times New Roman" w:cs="Times New Roman"/>
          <w:sz w:val="24"/>
          <w:szCs w:val="24"/>
        </w:rPr>
        <w:commentReference w:id="11"/>
      </w:r>
      <w:r w:rsidRPr="001A41FD">
        <w:rPr>
          <w:rFonts w:ascii="Times New Roman" w:eastAsia="Times New Roman" w:hAnsi="Times New Roman" w:cs="Times New Roman"/>
          <w:sz w:val="24"/>
          <w:szCs w:val="24"/>
        </w:rPr>
        <w:t xml:space="preserve">. </w:t>
      </w:r>
      <w:commentRangeStart w:id="12"/>
      <w:r w:rsidRPr="001A41FD">
        <w:rPr>
          <w:rFonts w:ascii="Times New Roman" w:eastAsia="Times New Roman" w:hAnsi="Times New Roman" w:cs="Times New Roman"/>
          <w:sz w:val="24"/>
          <w:szCs w:val="24"/>
        </w:rPr>
        <w:t>A direct response followed it in the National Research Act of 1974, which eventually resulted in the historic Belmont Report of 1979, which formulated three fundamental ethical principles: respect for persons based on voluntary informed consent, beneficence based on maximization of benefits and minimization of harm, and justice based on equitable distribution of research burdens (Tobin, 2022</w:t>
      </w:r>
      <w:commentRangeEnd w:id="12"/>
      <w:r w:rsidR="00F17034" w:rsidRPr="001A41FD">
        <w:rPr>
          <w:rStyle w:val="CommentReference"/>
          <w:rFonts w:ascii="Times New Roman" w:eastAsia="Times New Roman" w:hAnsi="Times New Roman" w:cs="Times New Roman"/>
          <w:sz w:val="24"/>
          <w:szCs w:val="24"/>
        </w:rPr>
        <w:commentReference w:id="12"/>
      </w:r>
      <w:r w:rsidRPr="001A41FD">
        <w:rPr>
          <w:rFonts w:ascii="Times New Roman" w:eastAsia="Times New Roman" w:hAnsi="Times New Roman" w:cs="Times New Roman"/>
          <w:sz w:val="24"/>
          <w:szCs w:val="24"/>
        </w:rPr>
        <w:t xml:space="preserve">). Currently, all research involving human subjects should be reviewed by an Institutional Review Board (IRB), and adherence to these principles must be ensured before any study is conducted. </w:t>
      </w:r>
      <w:commentRangeStart w:id="13"/>
      <w:r w:rsidRPr="001A41FD">
        <w:rPr>
          <w:rFonts w:ascii="Times New Roman" w:eastAsia="Times New Roman" w:hAnsi="Times New Roman" w:cs="Times New Roman"/>
          <w:sz w:val="24"/>
          <w:szCs w:val="24"/>
        </w:rPr>
        <w:t xml:space="preserve">The American Psychological Association's code of ethics also obliges psychologists to ensure informed consent, protect participants from harm, uphold confidentiality, </w:t>
      </w:r>
      <w:r w:rsidRPr="001A41FD">
        <w:rPr>
          <w:rFonts w:ascii="Times New Roman" w:eastAsia="Times New Roman" w:hAnsi="Times New Roman" w:cs="Times New Roman"/>
          <w:sz w:val="24"/>
          <w:szCs w:val="24"/>
        </w:rPr>
        <w:lastRenderedPageBreak/>
        <w:t>and ensure that all research is transparent and honest</w:t>
      </w:r>
      <w:commentRangeEnd w:id="13"/>
      <w:r w:rsidR="00F17034" w:rsidRPr="001A41FD">
        <w:rPr>
          <w:rStyle w:val="CommentReference"/>
          <w:rFonts w:ascii="Times New Roman" w:eastAsia="Times New Roman" w:hAnsi="Times New Roman" w:cs="Times New Roman"/>
          <w:sz w:val="24"/>
          <w:szCs w:val="24"/>
        </w:rPr>
        <w:commentReference w:id="13"/>
      </w:r>
      <w:r w:rsidRPr="001A41FD">
        <w:rPr>
          <w:rFonts w:ascii="Times New Roman" w:eastAsia="Times New Roman" w:hAnsi="Times New Roman" w:cs="Times New Roman"/>
          <w:sz w:val="24"/>
          <w:szCs w:val="24"/>
        </w:rPr>
        <w:t>. These new protections fit right within the framework of the Belmont Report. They are a direct result of the ethical lapses shown at Tuskegee, so no more vulnerable group can be used again in the name of science.</w:t>
      </w:r>
    </w:p>
    <w:p w14:paraId="596094DE"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693C016E"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3E0FD1AC"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7FEB7EDC"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086EB3CA"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19F3F539"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3F133EF5"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60632022"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55D49E1A"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58C23EE9"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2EF446F7"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6C532ECB"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4E37235F"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3454D6A5"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35BB3755"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6A4684FA"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2E686781"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76577CED"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156091BA"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34C34957" w14:textId="77777777" w:rsidR="001A41FD" w:rsidRDefault="001A41FD" w:rsidP="001A41FD">
      <w:pPr>
        <w:spacing w:after="0" w:line="480" w:lineRule="auto"/>
        <w:contextualSpacing/>
        <w:rPr>
          <w:rFonts w:ascii="Times New Roman" w:eastAsia="Times New Roman" w:hAnsi="Times New Roman" w:cs="Times New Roman"/>
          <w:b/>
          <w:bCs/>
          <w:sz w:val="24"/>
          <w:szCs w:val="24"/>
        </w:rPr>
      </w:pPr>
    </w:p>
    <w:p w14:paraId="42E14DFF" w14:textId="77777777" w:rsidR="001A41FD" w:rsidRPr="001A41FD" w:rsidRDefault="001A41FD" w:rsidP="001A41FD">
      <w:pPr>
        <w:spacing w:after="0" w:line="480" w:lineRule="auto"/>
        <w:contextualSpacing/>
        <w:jc w:val="center"/>
        <w:rPr>
          <w:rFonts w:ascii="Times New Roman" w:eastAsia="Times New Roman" w:hAnsi="Times New Roman" w:cs="Times New Roman"/>
          <w:sz w:val="24"/>
          <w:szCs w:val="24"/>
        </w:rPr>
      </w:pPr>
      <w:r w:rsidRPr="001A41FD">
        <w:rPr>
          <w:rFonts w:ascii="Times New Roman" w:eastAsia="Times New Roman" w:hAnsi="Times New Roman" w:cs="Times New Roman"/>
          <w:b/>
          <w:bCs/>
          <w:sz w:val="24"/>
          <w:szCs w:val="24"/>
        </w:rPr>
        <w:lastRenderedPageBreak/>
        <w:t>References</w:t>
      </w:r>
    </w:p>
    <w:p w14:paraId="5879FCBD" w14:textId="77777777" w:rsidR="001A41FD" w:rsidRPr="001A41FD" w:rsidRDefault="001A41FD" w:rsidP="001A41FD">
      <w:pPr>
        <w:spacing w:after="0" w:line="480" w:lineRule="auto"/>
        <w:ind w:left="720" w:hanging="720"/>
        <w:contextualSpacing/>
        <w:rPr>
          <w:rFonts w:ascii="Times New Roman" w:eastAsia="Times New Roman" w:hAnsi="Times New Roman" w:cs="Times New Roman"/>
          <w:sz w:val="24"/>
          <w:szCs w:val="24"/>
        </w:rPr>
      </w:pPr>
      <w:r w:rsidRPr="001A41FD">
        <w:rPr>
          <w:rFonts w:ascii="Times New Roman" w:eastAsia="Times New Roman" w:hAnsi="Times New Roman" w:cs="Times New Roman"/>
          <w:sz w:val="24"/>
          <w:szCs w:val="24"/>
        </w:rPr>
        <w:t xml:space="preserve">Reverby, S. M. (2022). The Milbank Memorial Fund and the US Public Health Service Study     of Untreated Syphilis in Tuskegee: A short historical reassessment. </w:t>
      </w:r>
      <w:r w:rsidRPr="001A41FD">
        <w:rPr>
          <w:rFonts w:ascii="Times New Roman" w:eastAsia="Times New Roman" w:hAnsi="Times New Roman" w:cs="Times New Roman"/>
          <w:i/>
          <w:iCs/>
          <w:sz w:val="24"/>
          <w:szCs w:val="24"/>
        </w:rPr>
        <w:t>The Milbank</w:t>
      </w:r>
      <w:r w:rsidRPr="001A41FD">
        <w:rPr>
          <w:rFonts w:ascii="Times New Roman" w:eastAsia="Times New Roman" w:hAnsi="Times New Roman" w:cs="Times New Roman"/>
          <w:sz w:val="24"/>
          <w:szCs w:val="24"/>
        </w:rPr>
        <w:t xml:space="preserve">     </w:t>
      </w:r>
      <w:r w:rsidRPr="001A41FD">
        <w:rPr>
          <w:rFonts w:ascii="Times New Roman" w:eastAsia="Times New Roman" w:hAnsi="Times New Roman" w:cs="Times New Roman"/>
          <w:i/>
          <w:iCs/>
          <w:sz w:val="24"/>
          <w:szCs w:val="24"/>
        </w:rPr>
        <w:t>Quarterly</w:t>
      </w:r>
      <w:r w:rsidRPr="001A41FD">
        <w:rPr>
          <w:rFonts w:ascii="Times New Roman" w:eastAsia="Times New Roman" w:hAnsi="Times New Roman" w:cs="Times New Roman"/>
          <w:sz w:val="24"/>
          <w:szCs w:val="24"/>
        </w:rPr>
        <w:t xml:space="preserve">, </w:t>
      </w:r>
      <w:r w:rsidRPr="001A41FD">
        <w:rPr>
          <w:rFonts w:ascii="Times New Roman" w:eastAsia="Times New Roman" w:hAnsi="Times New Roman" w:cs="Times New Roman"/>
          <w:i/>
          <w:iCs/>
          <w:sz w:val="24"/>
          <w:szCs w:val="24"/>
        </w:rPr>
        <w:t>100</w:t>
      </w:r>
      <w:r w:rsidRPr="001A41FD">
        <w:rPr>
          <w:rFonts w:ascii="Times New Roman" w:eastAsia="Times New Roman" w:hAnsi="Times New Roman" w:cs="Times New Roman"/>
          <w:sz w:val="24"/>
          <w:szCs w:val="24"/>
        </w:rPr>
        <w:t xml:space="preserve">(2), 327–340. </w:t>
      </w:r>
      <w:hyperlink r:id="rId10" w:history="1">
        <w:r w:rsidRPr="001A41FD">
          <w:rPr>
            <w:rFonts w:ascii="Times New Roman" w:eastAsia="Times New Roman" w:hAnsi="Times New Roman" w:cs="Times New Roman"/>
            <w:color w:val="0000FF"/>
            <w:sz w:val="24"/>
            <w:szCs w:val="24"/>
            <w:u w:val="single"/>
          </w:rPr>
          <w:t>https://doi.org/10.1111/1468-0009.12574</w:t>
        </w:r>
      </w:hyperlink>
    </w:p>
    <w:p w14:paraId="5AE1B4FA" w14:textId="77777777" w:rsidR="001A41FD" w:rsidRPr="001A41FD" w:rsidRDefault="001A41FD" w:rsidP="001A41FD">
      <w:pPr>
        <w:spacing w:after="0" w:line="480" w:lineRule="auto"/>
        <w:ind w:left="720" w:hanging="720"/>
        <w:contextualSpacing/>
        <w:rPr>
          <w:rFonts w:ascii="Times New Roman" w:eastAsia="Times New Roman" w:hAnsi="Times New Roman" w:cs="Times New Roman"/>
          <w:sz w:val="24"/>
          <w:szCs w:val="24"/>
        </w:rPr>
      </w:pPr>
      <w:commentRangeStart w:id="14"/>
      <w:r w:rsidRPr="001A41FD">
        <w:rPr>
          <w:rFonts w:ascii="Times New Roman" w:eastAsia="Times New Roman" w:hAnsi="Times New Roman" w:cs="Times New Roman"/>
          <w:sz w:val="24"/>
          <w:szCs w:val="24"/>
        </w:rPr>
        <w:t>Sewaralthahab, S., Alghamdi, R., Alamer, A., Aldosari, A., Alshehri, A., &amp; Alotaibi, A.     </w:t>
      </w:r>
      <w:commentRangeEnd w:id="14"/>
      <w:r w:rsidR="00833D71" w:rsidRPr="001A41FD">
        <w:rPr>
          <w:rStyle w:val="CommentReference"/>
          <w:rFonts w:ascii="Times New Roman" w:eastAsia="Times New Roman" w:hAnsi="Times New Roman" w:cs="Times New Roman"/>
          <w:sz w:val="24"/>
          <w:szCs w:val="24"/>
        </w:rPr>
        <w:commentReference w:id="14"/>
      </w:r>
      <w:r w:rsidRPr="001A41FD">
        <w:rPr>
          <w:rFonts w:ascii="Times New Roman" w:eastAsia="Times New Roman" w:hAnsi="Times New Roman" w:cs="Times New Roman"/>
          <w:sz w:val="24"/>
          <w:szCs w:val="24"/>
        </w:rPr>
        <w:t xml:space="preserve">(2025). The Tuskegee syphilis study: A reminder for every researcher. </w:t>
      </w:r>
      <w:r w:rsidRPr="001A41FD">
        <w:rPr>
          <w:rFonts w:ascii="Times New Roman" w:eastAsia="Times New Roman" w:hAnsi="Times New Roman" w:cs="Times New Roman"/>
          <w:i/>
          <w:iCs/>
          <w:sz w:val="24"/>
          <w:szCs w:val="24"/>
        </w:rPr>
        <w:t>Indian Journal</w:t>
      </w:r>
      <w:r w:rsidRPr="001A41FD">
        <w:rPr>
          <w:rFonts w:ascii="Times New Roman" w:eastAsia="Times New Roman" w:hAnsi="Times New Roman" w:cs="Times New Roman"/>
          <w:sz w:val="24"/>
          <w:szCs w:val="24"/>
        </w:rPr>
        <w:t xml:space="preserve">     </w:t>
      </w:r>
      <w:r w:rsidRPr="001A41FD">
        <w:rPr>
          <w:rFonts w:ascii="Times New Roman" w:eastAsia="Times New Roman" w:hAnsi="Times New Roman" w:cs="Times New Roman"/>
          <w:i/>
          <w:iCs/>
          <w:sz w:val="24"/>
          <w:szCs w:val="24"/>
        </w:rPr>
        <w:t>of Sexually Transmitted Diseases and AIDS</w:t>
      </w:r>
      <w:r w:rsidRPr="001A41FD">
        <w:rPr>
          <w:rFonts w:ascii="Times New Roman" w:eastAsia="Times New Roman" w:hAnsi="Times New Roman" w:cs="Times New Roman"/>
          <w:sz w:val="24"/>
          <w:szCs w:val="24"/>
        </w:rPr>
        <w:t xml:space="preserve">, </w:t>
      </w:r>
      <w:r w:rsidRPr="001A41FD">
        <w:rPr>
          <w:rFonts w:ascii="Times New Roman" w:eastAsia="Times New Roman" w:hAnsi="Times New Roman" w:cs="Times New Roman"/>
          <w:i/>
          <w:iCs/>
          <w:sz w:val="24"/>
          <w:szCs w:val="24"/>
        </w:rPr>
        <w:t>46</w:t>
      </w:r>
      <w:r w:rsidRPr="001A41FD">
        <w:rPr>
          <w:rFonts w:ascii="Times New Roman" w:eastAsia="Times New Roman" w:hAnsi="Times New Roman" w:cs="Times New Roman"/>
          <w:sz w:val="24"/>
          <w:szCs w:val="24"/>
        </w:rPr>
        <w:t>(1), 94–95.     </w:t>
      </w:r>
      <w:hyperlink r:id="rId11" w:history="1">
        <w:r w:rsidRPr="001A41FD">
          <w:rPr>
            <w:rFonts w:ascii="Times New Roman" w:eastAsia="Times New Roman" w:hAnsi="Times New Roman" w:cs="Times New Roman"/>
            <w:color w:val="0000FF"/>
            <w:sz w:val="24"/>
            <w:szCs w:val="24"/>
            <w:u w:val="single"/>
          </w:rPr>
          <w:t>https://doi.org/10.4103/ijstd.ijstd_114_24</w:t>
        </w:r>
      </w:hyperlink>
    </w:p>
    <w:p w14:paraId="1FE8BE41" w14:textId="77777777" w:rsidR="001A41FD" w:rsidRPr="001A41FD" w:rsidRDefault="001A41FD" w:rsidP="001A41FD">
      <w:pPr>
        <w:spacing w:after="0" w:line="480" w:lineRule="auto"/>
        <w:ind w:left="720" w:hanging="720"/>
        <w:contextualSpacing/>
        <w:rPr>
          <w:rFonts w:ascii="Times New Roman" w:eastAsia="Times New Roman" w:hAnsi="Times New Roman" w:cs="Times New Roman"/>
          <w:sz w:val="24"/>
          <w:szCs w:val="24"/>
        </w:rPr>
      </w:pPr>
      <w:r w:rsidRPr="001A41FD">
        <w:rPr>
          <w:rFonts w:ascii="Times New Roman" w:eastAsia="Times New Roman" w:hAnsi="Times New Roman" w:cs="Times New Roman"/>
          <w:sz w:val="24"/>
          <w:szCs w:val="24"/>
        </w:rPr>
        <w:t xml:space="preserve">Tobin, M. J. (2022). Fiftieth anniversary of uncovering the Tuskegee syphilis study: The     story and timeless lessons. </w:t>
      </w:r>
      <w:r w:rsidRPr="001A41FD">
        <w:rPr>
          <w:rFonts w:ascii="Times New Roman" w:eastAsia="Times New Roman" w:hAnsi="Times New Roman" w:cs="Times New Roman"/>
          <w:i/>
          <w:iCs/>
          <w:sz w:val="24"/>
          <w:szCs w:val="24"/>
        </w:rPr>
        <w:t>American Journal of Respiratory and Critical Care</w:t>
      </w:r>
      <w:r w:rsidRPr="001A41FD">
        <w:rPr>
          <w:rFonts w:ascii="Times New Roman" w:eastAsia="Times New Roman" w:hAnsi="Times New Roman" w:cs="Times New Roman"/>
          <w:sz w:val="24"/>
          <w:szCs w:val="24"/>
        </w:rPr>
        <w:t xml:space="preserve">     </w:t>
      </w:r>
      <w:r w:rsidRPr="001A41FD">
        <w:rPr>
          <w:rFonts w:ascii="Times New Roman" w:eastAsia="Times New Roman" w:hAnsi="Times New Roman" w:cs="Times New Roman"/>
          <w:i/>
          <w:iCs/>
          <w:sz w:val="24"/>
          <w:szCs w:val="24"/>
        </w:rPr>
        <w:t>Medicine</w:t>
      </w:r>
      <w:r w:rsidRPr="001A41FD">
        <w:rPr>
          <w:rFonts w:ascii="Times New Roman" w:eastAsia="Times New Roman" w:hAnsi="Times New Roman" w:cs="Times New Roman"/>
          <w:sz w:val="24"/>
          <w:szCs w:val="24"/>
        </w:rPr>
        <w:t xml:space="preserve">, </w:t>
      </w:r>
      <w:r w:rsidRPr="001A41FD">
        <w:rPr>
          <w:rFonts w:ascii="Times New Roman" w:eastAsia="Times New Roman" w:hAnsi="Times New Roman" w:cs="Times New Roman"/>
          <w:i/>
          <w:iCs/>
          <w:sz w:val="24"/>
          <w:szCs w:val="24"/>
        </w:rPr>
        <w:t>205</w:t>
      </w:r>
      <w:r w:rsidRPr="001A41FD">
        <w:rPr>
          <w:rFonts w:ascii="Times New Roman" w:eastAsia="Times New Roman" w:hAnsi="Times New Roman" w:cs="Times New Roman"/>
          <w:sz w:val="24"/>
          <w:szCs w:val="24"/>
        </w:rPr>
        <w:t xml:space="preserve">(10), 1145–1158. </w:t>
      </w:r>
      <w:hyperlink r:id="rId12" w:history="1">
        <w:r w:rsidRPr="001A41FD">
          <w:rPr>
            <w:rFonts w:ascii="Times New Roman" w:eastAsia="Times New Roman" w:hAnsi="Times New Roman" w:cs="Times New Roman"/>
            <w:color w:val="0000FF"/>
            <w:sz w:val="24"/>
            <w:szCs w:val="24"/>
            <w:u w:val="single"/>
          </w:rPr>
          <w:t>https://doi.org/10.1164/rccm.202201-0136SO</w:t>
        </w:r>
      </w:hyperlink>
    </w:p>
    <w:p w14:paraId="3ED77883" w14:textId="77777777" w:rsidR="00A348D3" w:rsidRPr="001A41FD" w:rsidRDefault="00A348D3" w:rsidP="001A41FD">
      <w:pPr>
        <w:spacing w:after="0" w:line="480" w:lineRule="auto"/>
        <w:contextualSpacing/>
        <w:rPr>
          <w:sz w:val="24"/>
          <w:szCs w:val="24"/>
        </w:rPr>
      </w:pPr>
    </w:p>
    <w:sectPr w:rsidR="00A348D3" w:rsidRPr="001A41FD">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yx" w:date="2026-05-03T05:24:00Z" w:initials="nyx">
    <w:p w14:paraId="678F7094" w14:textId="77777777" w:rsidR="005E4048" w:rsidRDefault="00326D4E" w:rsidP="005E4048">
      <w:pPr>
        <w:pStyle w:val="CommentText"/>
      </w:pPr>
      <w:r>
        <w:rPr>
          <w:rStyle w:val="CommentReference"/>
        </w:rPr>
        <w:annotationRef/>
      </w:r>
      <w:r w:rsidR="005E4048">
        <w:t>BC43</w:t>
      </w:r>
    </w:p>
    <w:p w14:paraId="04DEBA15" w14:textId="77777777" w:rsidR="005E4048" w:rsidRDefault="005E4048" w:rsidP="005E4048">
      <w:pPr>
        <w:pStyle w:val="CommentText"/>
      </w:pPr>
      <w:r>
        <w:rPr>
          <w:b/>
          <w:bCs/>
        </w:rPr>
        <w:t>Without headings</w:t>
      </w:r>
    </w:p>
    <w:p w14:paraId="6F9562B6" w14:textId="5801FE84" w:rsidR="005E4048" w:rsidRDefault="005E4048" w:rsidP="005E4048">
      <w:pPr>
        <w:pStyle w:val="CommentText"/>
      </w:pPr>
      <w:r>
        <w:rPr>
          <w:noProof/>
        </w:rPr>
        <w:drawing>
          <wp:inline distT="0" distB="0" distL="0" distR="0" wp14:anchorId="5F8DEB63" wp14:editId="60799A23">
            <wp:extent cx="5943600" cy="1217295"/>
            <wp:effectExtent l="0" t="0" r="0" b="1905"/>
            <wp:docPr id="1641896327"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896327" name="Picture 1641896327" descr="Image"/>
                    <pic:cNvPicPr/>
                  </pic:nvPicPr>
                  <pic:blipFill>
                    <a:blip r:embed="rId1">
                      <a:extLst>
                        <a:ext uri="{28A0092B-C50C-407E-A947-70E740481C1C}">
                          <a14:useLocalDpi xmlns:a14="http://schemas.microsoft.com/office/drawing/2010/main" val="0"/>
                        </a:ext>
                      </a:extLst>
                    </a:blip>
                    <a:stretch>
                      <a:fillRect/>
                    </a:stretch>
                  </pic:blipFill>
                  <pic:spPr>
                    <a:xfrm>
                      <a:off x="0" y="0"/>
                      <a:ext cx="5943600" cy="1217295"/>
                    </a:xfrm>
                    <a:prstGeom prst="rect">
                      <a:avLst/>
                    </a:prstGeom>
                  </pic:spPr>
                </pic:pic>
              </a:graphicData>
            </a:graphic>
          </wp:inline>
        </w:drawing>
      </w:r>
    </w:p>
    <w:p w14:paraId="50F8CAF7" w14:textId="77777777" w:rsidR="005E4048" w:rsidRDefault="005E4048" w:rsidP="005E4048">
      <w:pPr>
        <w:pStyle w:val="CommentText"/>
      </w:pPr>
      <w:r>
        <w:rPr>
          <w:b/>
          <w:bCs/>
        </w:rPr>
        <w:t>With headings</w:t>
      </w:r>
    </w:p>
    <w:p w14:paraId="5BAA6D84" w14:textId="66930BA0" w:rsidR="005E4048" w:rsidRDefault="005E4048" w:rsidP="005E4048">
      <w:pPr>
        <w:pStyle w:val="CommentText"/>
      </w:pPr>
      <w:r>
        <w:rPr>
          <w:noProof/>
        </w:rPr>
        <w:drawing>
          <wp:inline distT="0" distB="0" distL="0" distR="0" wp14:anchorId="3231DF1B" wp14:editId="49D71346">
            <wp:extent cx="5943600" cy="1106170"/>
            <wp:effectExtent l="0" t="0" r="0" b="0"/>
            <wp:docPr id="470359984"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59984" name="Picture 470359984" descr="Image"/>
                    <pic:cNvPicPr/>
                  </pic:nvPicPr>
                  <pic:blipFill>
                    <a:blip r:embed="rId2">
                      <a:extLst>
                        <a:ext uri="{28A0092B-C50C-407E-A947-70E740481C1C}">
                          <a14:useLocalDpi xmlns:a14="http://schemas.microsoft.com/office/drawing/2010/main" val="0"/>
                        </a:ext>
                      </a:extLst>
                    </a:blip>
                    <a:stretch>
                      <a:fillRect/>
                    </a:stretch>
                  </pic:blipFill>
                  <pic:spPr>
                    <a:xfrm>
                      <a:off x="0" y="0"/>
                      <a:ext cx="5943600" cy="1106170"/>
                    </a:xfrm>
                    <a:prstGeom prst="rect">
                      <a:avLst/>
                    </a:prstGeom>
                  </pic:spPr>
                </pic:pic>
              </a:graphicData>
            </a:graphic>
          </wp:inline>
        </w:drawing>
      </w:r>
    </w:p>
  </w:comment>
  <w:comment w:id="1" w:author="nyx" w:date="2026-05-03T05:38:00Z" w:initials="nyx">
    <w:p w14:paraId="225D220F" w14:textId="77777777" w:rsidR="00D42DAF" w:rsidRDefault="00D42DAF" w:rsidP="00D42DAF">
      <w:pPr>
        <w:pStyle w:val="CommentText"/>
      </w:pPr>
      <w:r>
        <w:rPr>
          <w:rStyle w:val="CommentReference"/>
        </w:rPr>
        <w:annotationRef/>
      </w:r>
      <w:r>
        <w:t>People are not rural</w:t>
      </w:r>
    </w:p>
    <w:p w14:paraId="5C1F0407" w14:textId="77777777" w:rsidR="00D42DAF" w:rsidRDefault="00D42DAF" w:rsidP="00D42DAF">
      <w:pPr>
        <w:pStyle w:val="CommentText"/>
      </w:pPr>
      <w:r>
        <w:t>BC15, BC36</w:t>
      </w:r>
    </w:p>
  </w:comment>
  <w:comment w:id="2" w:author="nyx" w:date="2026-05-03T05:38:00Z" w:initials="nyx">
    <w:p w14:paraId="39EEE6E8" w14:textId="77777777" w:rsidR="005E0277" w:rsidRDefault="005E0277" w:rsidP="005E0277">
      <w:pPr>
        <w:pStyle w:val="CommentText"/>
      </w:pPr>
      <w:r>
        <w:rPr>
          <w:rStyle w:val="CommentReference"/>
        </w:rPr>
        <w:annotationRef/>
      </w:r>
      <w:r>
        <w:t>BC44</w:t>
      </w:r>
    </w:p>
  </w:comment>
  <w:comment w:id="3" w:author="nyx" w:date="2026-05-03T05:40:00Z" w:initials="nyx">
    <w:p w14:paraId="4F3D1192" w14:textId="77777777" w:rsidR="0094720B" w:rsidRDefault="0094720B" w:rsidP="0094720B">
      <w:pPr>
        <w:pStyle w:val="CommentText"/>
      </w:pPr>
      <w:r>
        <w:rPr>
          <w:rStyle w:val="CommentReference"/>
        </w:rPr>
        <w:annotationRef/>
      </w:r>
      <w:r>
        <w:t>BC23, CC125: missing thesis statement</w:t>
      </w:r>
    </w:p>
  </w:comment>
  <w:comment w:id="4" w:author="nyx" w:date="2026-05-03T05:41:00Z" w:initials="nyx">
    <w:p w14:paraId="13518CE0" w14:textId="77777777" w:rsidR="008C2B78" w:rsidRDefault="008C2B78" w:rsidP="008C2B78">
      <w:pPr>
        <w:pStyle w:val="CommentText"/>
      </w:pPr>
      <w:r>
        <w:rPr>
          <w:rStyle w:val="CommentReference"/>
        </w:rPr>
        <w:annotationRef/>
      </w:r>
      <w:r>
        <w:t>Both these need to be cited too</w:t>
      </w:r>
    </w:p>
    <w:p w14:paraId="64840F25" w14:textId="77777777" w:rsidR="008C2B78" w:rsidRDefault="008C2B78" w:rsidP="008C2B78">
      <w:pPr>
        <w:pStyle w:val="CommentText"/>
      </w:pPr>
      <w:r>
        <w:t>BC44</w:t>
      </w:r>
    </w:p>
  </w:comment>
  <w:comment w:id="5" w:author="nyx" w:date="2026-05-03T05:43:00Z" w:initials="nyx">
    <w:p w14:paraId="3EB5BA86" w14:textId="77777777" w:rsidR="00833D71" w:rsidRDefault="00833D71" w:rsidP="00833D71">
      <w:pPr>
        <w:pStyle w:val="CommentText"/>
      </w:pPr>
      <w:r>
        <w:rPr>
          <w:rStyle w:val="CommentReference"/>
        </w:rPr>
        <w:annotationRef/>
      </w:r>
      <w:r>
        <w:t>Please revisit. These are not the authors of this referenced source</w:t>
      </w:r>
    </w:p>
    <w:p w14:paraId="7282CBCC" w14:textId="77777777" w:rsidR="00833D71" w:rsidRDefault="00833D71" w:rsidP="00833D71">
      <w:pPr>
        <w:pStyle w:val="CommentText"/>
      </w:pPr>
      <w:r>
        <w:t>BC29</w:t>
      </w:r>
    </w:p>
  </w:comment>
  <w:comment w:id="6" w:author="nyx" w:date="2026-05-03T05:43:00Z" w:initials="nyx">
    <w:p w14:paraId="3A8739FD" w14:textId="77777777" w:rsidR="00833D71" w:rsidRDefault="00833D71" w:rsidP="00833D71">
      <w:pPr>
        <w:pStyle w:val="CommentText"/>
      </w:pPr>
      <w:r>
        <w:rPr>
          <w:rStyle w:val="CommentReference"/>
        </w:rPr>
        <w:annotationRef/>
      </w:r>
      <w:r>
        <w:t>BC30, EF30</w:t>
      </w:r>
    </w:p>
    <w:p w14:paraId="1A923DDA" w14:textId="77777777" w:rsidR="00833D71" w:rsidRDefault="00833D71" w:rsidP="00833D71">
      <w:pPr>
        <w:pStyle w:val="CommentText"/>
      </w:pPr>
      <w:r>
        <w:t>BC8, EF24: how is this a consequence?</w:t>
      </w:r>
    </w:p>
  </w:comment>
  <w:comment w:id="7" w:author="nyx" w:date="2026-05-03T05:46:00Z" w:initials="nyx">
    <w:p w14:paraId="2D4DB8F1" w14:textId="77777777" w:rsidR="007B7EF7" w:rsidRDefault="007B7EF7" w:rsidP="007B7EF7">
      <w:pPr>
        <w:pStyle w:val="CommentText"/>
      </w:pPr>
      <w:r>
        <w:rPr>
          <w:rStyle w:val="CommentReference"/>
        </w:rPr>
        <w:annotationRef/>
      </w:r>
      <w:r>
        <w:t>Legal issues not discussed</w:t>
      </w:r>
    </w:p>
    <w:p w14:paraId="2DAC4EC5" w14:textId="77777777" w:rsidR="007B7EF7" w:rsidRDefault="007B7EF7" w:rsidP="007B7EF7">
      <w:pPr>
        <w:pStyle w:val="CommentText"/>
      </w:pPr>
      <w:r>
        <w:t>BC5, BC8</w:t>
      </w:r>
    </w:p>
  </w:comment>
  <w:comment w:id="8" w:author="nyx" w:date="2026-05-03T05:44:00Z" w:initials="nyx">
    <w:p w14:paraId="56BD4717" w14:textId="77777777" w:rsidR="00320397" w:rsidRDefault="00320397" w:rsidP="00320397">
      <w:pPr>
        <w:pStyle w:val="CommentText"/>
      </w:pPr>
      <w:r>
        <w:rPr>
          <w:rStyle w:val="CommentReference"/>
        </w:rPr>
        <w:annotationRef/>
      </w:r>
      <w:r>
        <w:t>BC20</w:t>
      </w:r>
    </w:p>
  </w:comment>
  <w:comment w:id="9" w:author="nyx" w:date="2026-05-03T05:44:00Z" w:initials="nyx">
    <w:p w14:paraId="0A1246D3" w14:textId="77777777" w:rsidR="00320397" w:rsidRDefault="00320397" w:rsidP="00320397">
      <w:pPr>
        <w:pStyle w:val="CommentText"/>
      </w:pPr>
      <w:r>
        <w:rPr>
          <w:rStyle w:val="CommentReference"/>
        </w:rPr>
        <w:annotationRef/>
      </w:r>
      <w:r>
        <w:t>BC33</w:t>
      </w:r>
    </w:p>
  </w:comment>
  <w:comment w:id="10" w:author="nyx" w:date="2026-05-03T05:45:00Z" w:initials="nyx">
    <w:p w14:paraId="7CEF93F9" w14:textId="77777777" w:rsidR="00320397" w:rsidRDefault="00320397" w:rsidP="00320397">
      <w:pPr>
        <w:pStyle w:val="CommentText"/>
      </w:pPr>
      <w:r>
        <w:rPr>
          <w:rStyle w:val="CommentReference"/>
        </w:rPr>
        <w:annotationRef/>
      </w:r>
      <w:r>
        <w:t>BC33</w:t>
      </w:r>
    </w:p>
  </w:comment>
  <w:comment w:id="11" w:author="nyx" w:date="2026-05-03T05:47:00Z" w:initials="nyx">
    <w:p w14:paraId="5066BAD6" w14:textId="77777777" w:rsidR="00F17034" w:rsidRDefault="00F17034" w:rsidP="00F17034">
      <w:pPr>
        <w:pStyle w:val="CommentText"/>
      </w:pPr>
      <w:r>
        <w:rPr>
          <w:rStyle w:val="CommentReference"/>
        </w:rPr>
        <w:annotationRef/>
      </w:r>
      <w:r>
        <w:t>BC33</w:t>
      </w:r>
    </w:p>
  </w:comment>
  <w:comment w:id="12" w:author="nyx" w:date="2026-05-03T05:47:00Z" w:initials="nyx">
    <w:p w14:paraId="30B24142" w14:textId="77777777" w:rsidR="00F17034" w:rsidRDefault="00F17034" w:rsidP="00F17034">
      <w:pPr>
        <w:pStyle w:val="CommentText"/>
      </w:pPr>
      <w:r>
        <w:rPr>
          <w:rStyle w:val="CommentReference"/>
        </w:rPr>
        <w:annotationRef/>
      </w:r>
      <w:r>
        <w:t>Info not found in the cited source</w:t>
      </w:r>
    </w:p>
    <w:p w14:paraId="060ECB12" w14:textId="77777777" w:rsidR="00F17034" w:rsidRDefault="00F17034" w:rsidP="00F17034">
      <w:pPr>
        <w:pStyle w:val="CommentText"/>
      </w:pPr>
      <w:r>
        <w:t>BC44</w:t>
      </w:r>
    </w:p>
  </w:comment>
  <w:comment w:id="13" w:author="nyx" w:date="2026-05-03T05:47:00Z" w:initials="nyx">
    <w:p w14:paraId="1B98853C" w14:textId="77777777" w:rsidR="00F17034" w:rsidRDefault="00F17034" w:rsidP="00F17034">
      <w:pPr>
        <w:pStyle w:val="CommentText"/>
      </w:pPr>
      <w:r>
        <w:rPr>
          <w:rStyle w:val="CommentReference"/>
        </w:rPr>
        <w:annotationRef/>
      </w:r>
      <w:r>
        <w:t>BC44</w:t>
      </w:r>
    </w:p>
  </w:comment>
  <w:comment w:id="14" w:author="nyx" w:date="2026-05-03T05:43:00Z" w:initials="nyx">
    <w:p w14:paraId="2B4F2E43" w14:textId="77777777" w:rsidR="00833D71" w:rsidRDefault="00833D71" w:rsidP="00833D71">
      <w:pPr>
        <w:pStyle w:val="CommentText"/>
      </w:pPr>
      <w:r>
        <w:rPr>
          <w:rStyle w:val="CommentReference"/>
        </w:rPr>
        <w:annotationRef/>
      </w:r>
      <w:r>
        <w:t>Please revisit. These are not the authors of this referenced source</w:t>
      </w:r>
    </w:p>
    <w:p w14:paraId="3568F8F5" w14:textId="77777777" w:rsidR="00833D71" w:rsidRDefault="00833D71" w:rsidP="00833D71">
      <w:pPr>
        <w:pStyle w:val="CommentText"/>
      </w:pPr>
      <w:r>
        <w:t>BC29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AA6D84" w15:done="0"/>
  <w15:commentEx w15:paraId="5C1F0407" w15:done="0"/>
  <w15:commentEx w15:paraId="39EEE6E8" w15:done="0"/>
  <w15:commentEx w15:paraId="4F3D1192" w15:done="0"/>
  <w15:commentEx w15:paraId="64840F25" w15:done="0"/>
  <w15:commentEx w15:paraId="7282CBCC" w15:done="0"/>
  <w15:commentEx w15:paraId="1A923DDA" w15:done="0"/>
  <w15:commentEx w15:paraId="2DAC4EC5" w15:done="0"/>
  <w15:commentEx w15:paraId="56BD4717" w15:done="0"/>
  <w15:commentEx w15:paraId="0A1246D3" w15:done="0"/>
  <w15:commentEx w15:paraId="7CEF93F9" w15:done="0"/>
  <w15:commentEx w15:paraId="5066BAD6" w15:done="0"/>
  <w15:commentEx w15:paraId="060ECB12" w15:done="0"/>
  <w15:commentEx w15:paraId="1B98853C" w15:done="0"/>
  <w15:commentEx w15:paraId="3568F8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43F964" w16cex:dateUtc="2026-05-03T00:24:00Z"/>
  <w16cex:commentExtensible w16cex:durableId="4843AD14" w16cex:dateUtc="2026-05-03T00:38:00Z"/>
  <w16cex:commentExtensible w16cex:durableId="14A65D0B" w16cex:dateUtc="2026-05-03T00:38:00Z"/>
  <w16cex:commentExtensible w16cex:durableId="4799786A" w16cex:dateUtc="2026-05-03T00:40:00Z"/>
  <w16cex:commentExtensible w16cex:durableId="7492C836" w16cex:dateUtc="2026-05-03T00:41:00Z"/>
  <w16cex:commentExtensible w16cex:durableId="1BE61553" w16cex:dateUtc="2026-05-03T00:43:00Z"/>
  <w16cex:commentExtensible w16cex:durableId="47B78691" w16cex:dateUtc="2026-05-03T00:43:00Z"/>
  <w16cex:commentExtensible w16cex:durableId="62A597B1" w16cex:dateUtc="2026-05-03T00:46:00Z"/>
  <w16cex:commentExtensible w16cex:durableId="20B0BCE8" w16cex:dateUtc="2026-05-03T00:44:00Z"/>
  <w16cex:commentExtensible w16cex:durableId="4AECC133" w16cex:dateUtc="2026-05-03T00:44:00Z"/>
  <w16cex:commentExtensible w16cex:durableId="2124691D" w16cex:dateUtc="2026-05-03T00:45:00Z"/>
  <w16cex:commentExtensible w16cex:durableId="3EDEAD89" w16cex:dateUtc="2026-05-03T00:47:00Z"/>
  <w16cex:commentExtensible w16cex:durableId="07D5CC25" w16cex:dateUtc="2026-05-03T00:47:00Z"/>
  <w16cex:commentExtensible w16cex:durableId="66B01D3F" w16cex:dateUtc="2026-05-03T00:47:00Z"/>
  <w16cex:commentExtensible w16cex:durableId="45BDA03C" w16cex:dateUtc="2026-05-03T0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AA6D84" w16cid:durableId="5843F964"/>
  <w16cid:commentId w16cid:paraId="5C1F0407" w16cid:durableId="4843AD14"/>
  <w16cid:commentId w16cid:paraId="39EEE6E8" w16cid:durableId="14A65D0B"/>
  <w16cid:commentId w16cid:paraId="4F3D1192" w16cid:durableId="4799786A"/>
  <w16cid:commentId w16cid:paraId="64840F25" w16cid:durableId="7492C836"/>
  <w16cid:commentId w16cid:paraId="7282CBCC" w16cid:durableId="1BE61553"/>
  <w16cid:commentId w16cid:paraId="1A923DDA" w16cid:durableId="47B78691"/>
  <w16cid:commentId w16cid:paraId="2DAC4EC5" w16cid:durableId="62A597B1"/>
  <w16cid:commentId w16cid:paraId="56BD4717" w16cid:durableId="20B0BCE8"/>
  <w16cid:commentId w16cid:paraId="0A1246D3" w16cid:durableId="4AECC133"/>
  <w16cid:commentId w16cid:paraId="7CEF93F9" w16cid:durableId="2124691D"/>
  <w16cid:commentId w16cid:paraId="5066BAD6" w16cid:durableId="3EDEAD89"/>
  <w16cid:commentId w16cid:paraId="060ECB12" w16cid:durableId="07D5CC25"/>
  <w16cid:commentId w16cid:paraId="1B98853C" w16cid:durableId="66B01D3F"/>
  <w16cid:commentId w16cid:paraId="3568F8F5" w16cid:durableId="45BDA0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0FC2" w14:textId="77777777" w:rsidR="002647A3" w:rsidRDefault="002647A3" w:rsidP="001A41FD">
      <w:pPr>
        <w:spacing w:after="0" w:line="240" w:lineRule="auto"/>
      </w:pPr>
      <w:r>
        <w:separator/>
      </w:r>
    </w:p>
  </w:endnote>
  <w:endnote w:type="continuationSeparator" w:id="0">
    <w:p w14:paraId="50A64221" w14:textId="77777777" w:rsidR="002647A3" w:rsidRDefault="002647A3" w:rsidP="001A4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E87D8" w14:textId="77777777" w:rsidR="002647A3" w:rsidRDefault="002647A3" w:rsidP="001A41FD">
      <w:pPr>
        <w:spacing w:after="0" w:line="240" w:lineRule="auto"/>
      </w:pPr>
      <w:r>
        <w:separator/>
      </w:r>
    </w:p>
  </w:footnote>
  <w:footnote w:type="continuationSeparator" w:id="0">
    <w:p w14:paraId="4171FA68" w14:textId="77777777" w:rsidR="002647A3" w:rsidRDefault="002647A3" w:rsidP="001A4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569498733"/>
      <w:docPartObj>
        <w:docPartGallery w:val="Page Numbers (Top of Page)"/>
        <w:docPartUnique/>
      </w:docPartObj>
    </w:sdtPr>
    <w:sdtEndPr>
      <w:rPr>
        <w:noProof/>
      </w:rPr>
    </w:sdtEndPr>
    <w:sdtContent>
      <w:p w14:paraId="38859363" w14:textId="77777777" w:rsidR="001A41FD" w:rsidRPr="001A41FD" w:rsidRDefault="001A41FD">
        <w:pPr>
          <w:pStyle w:val="Header"/>
          <w:jc w:val="right"/>
          <w:rPr>
            <w:rFonts w:ascii="Times New Roman" w:hAnsi="Times New Roman" w:cs="Times New Roman"/>
            <w:sz w:val="24"/>
          </w:rPr>
        </w:pPr>
        <w:r w:rsidRPr="001A41FD">
          <w:rPr>
            <w:rFonts w:ascii="Times New Roman" w:hAnsi="Times New Roman" w:cs="Times New Roman"/>
            <w:sz w:val="24"/>
          </w:rPr>
          <w:fldChar w:fldCharType="begin"/>
        </w:r>
        <w:r w:rsidRPr="001A41FD">
          <w:rPr>
            <w:rFonts w:ascii="Times New Roman" w:hAnsi="Times New Roman" w:cs="Times New Roman"/>
            <w:sz w:val="24"/>
          </w:rPr>
          <w:instrText xml:space="preserve"> PAGE   \* MERGEFORMAT </w:instrText>
        </w:r>
        <w:r w:rsidRPr="001A41FD">
          <w:rPr>
            <w:rFonts w:ascii="Times New Roman" w:hAnsi="Times New Roman" w:cs="Times New Roman"/>
            <w:sz w:val="24"/>
          </w:rPr>
          <w:fldChar w:fldCharType="separate"/>
        </w:r>
        <w:r>
          <w:rPr>
            <w:rFonts w:ascii="Times New Roman" w:hAnsi="Times New Roman" w:cs="Times New Roman"/>
            <w:noProof/>
            <w:sz w:val="24"/>
          </w:rPr>
          <w:t>1</w:t>
        </w:r>
        <w:r w:rsidRPr="001A41FD">
          <w:rPr>
            <w:rFonts w:ascii="Times New Roman" w:hAnsi="Times New Roman" w:cs="Times New Roman"/>
            <w:noProof/>
            <w:sz w:val="24"/>
          </w:rPr>
          <w:fldChar w:fldCharType="end"/>
        </w:r>
      </w:p>
    </w:sdtContent>
  </w:sdt>
  <w:p w14:paraId="777417B3" w14:textId="77777777" w:rsidR="001A41FD" w:rsidRPr="001A41FD" w:rsidRDefault="001A41FD">
    <w:pPr>
      <w:pStyle w:val="Header"/>
      <w:rPr>
        <w:rFonts w:ascii="Times New Roman" w:hAnsi="Times New Roman" w:cs="Times New Roman"/>
        <w:sz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x">
    <w15:presenceInfo w15:providerId="None" w15:userId="n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FD"/>
    <w:rsid w:val="001A41FD"/>
    <w:rsid w:val="002647A3"/>
    <w:rsid w:val="00320397"/>
    <w:rsid w:val="00326D4E"/>
    <w:rsid w:val="005E0277"/>
    <w:rsid w:val="005E4048"/>
    <w:rsid w:val="006F710B"/>
    <w:rsid w:val="00740A2F"/>
    <w:rsid w:val="00767BC1"/>
    <w:rsid w:val="007B7EF7"/>
    <w:rsid w:val="00833D71"/>
    <w:rsid w:val="008C2B78"/>
    <w:rsid w:val="0094720B"/>
    <w:rsid w:val="00A348D3"/>
    <w:rsid w:val="00D42DAF"/>
    <w:rsid w:val="00F1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BB17"/>
  <w15:chartTrackingRefBased/>
  <w15:docId w15:val="{E0C9A6B2-F4F9-42FE-A5BF-94E040E1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A41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41FD"/>
    <w:rPr>
      <w:rFonts w:ascii="Times New Roman" w:eastAsia="Times New Roman" w:hAnsi="Times New Roman" w:cs="Times New Roman"/>
      <w:b/>
      <w:bCs/>
      <w:sz w:val="36"/>
      <w:szCs w:val="36"/>
    </w:rPr>
  </w:style>
  <w:style w:type="paragraph" w:customStyle="1" w:styleId="font-claude-response-body">
    <w:name w:val="font-claude-response-body"/>
    <w:basedOn w:val="Normal"/>
    <w:rsid w:val="001A41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41FD"/>
    <w:rPr>
      <w:b/>
      <w:bCs/>
    </w:rPr>
  </w:style>
  <w:style w:type="character" w:styleId="Emphasis">
    <w:name w:val="Emphasis"/>
    <w:basedOn w:val="DefaultParagraphFont"/>
    <w:uiPriority w:val="20"/>
    <w:qFormat/>
    <w:rsid w:val="001A41FD"/>
    <w:rPr>
      <w:i/>
      <w:iCs/>
    </w:rPr>
  </w:style>
  <w:style w:type="character" w:styleId="Hyperlink">
    <w:name w:val="Hyperlink"/>
    <w:basedOn w:val="DefaultParagraphFont"/>
    <w:uiPriority w:val="99"/>
    <w:semiHidden/>
    <w:unhideWhenUsed/>
    <w:rsid w:val="001A41FD"/>
    <w:rPr>
      <w:color w:val="0000FF"/>
      <w:u w:val="single"/>
    </w:rPr>
  </w:style>
  <w:style w:type="paragraph" w:styleId="Header">
    <w:name w:val="header"/>
    <w:basedOn w:val="Normal"/>
    <w:link w:val="HeaderChar"/>
    <w:uiPriority w:val="99"/>
    <w:unhideWhenUsed/>
    <w:rsid w:val="001A4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1FD"/>
  </w:style>
  <w:style w:type="paragraph" w:styleId="Footer">
    <w:name w:val="footer"/>
    <w:basedOn w:val="Normal"/>
    <w:link w:val="FooterChar"/>
    <w:uiPriority w:val="99"/>
    <w:unhideWhenUsed/>
    <w:rsid w:val="001A4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1FD"/>
  </w:style>
  <w:style w:type="character" w:styleId="CommentReference">
    <w:name w:val="annotation reference"/>
    <w:basedOn w:val="DefaultParagraphFont"/>
    <w:uiPriority w:val="99"/>
    <w:semiHidden/>
    <w:unhideWhenUsed/>
    <w:rsid w:val="00326D4E"/>
    <w:rPr>
      <w:sz w:val="16"/>
      <w:szCs w:val="16"/>
    </w:rPr>
  </w:style>
  <w:style w:type="paragraph" w:styleId="CommentText">
    <w:name w:val="annotation text"/>
    <w:basedOn w:val="Normal"/>
    <w:link w:val="CommentTextChar"/>
    <w:uiPriority w:val="99"/>
    <w:unhideWhenUsed/>
    <w:rsid w:val="00326D4E"/>
    <w:pPr>
      <w:spacing w:line="240" w:lineRule="auto"/>
    </w:pPr>
    <w:rPr>
      <w:sz w:val="20"/>
      <w:szCs w:val="20"/>
    </w:rPr>
  </w:style>
  <w:style w:type="character" w:customStyle="1" w:styleId="CommentTextChar">
    <w:name w:val="Comment Text Char"/>
    <w:basedOn w:val="DefaultParagraphFont"/>
    <w:link w:val="CommentText"/>
    <w:uiPriority w:val="99"/>
    <w:rsid w:val="00326D4E"/>
    <w:rPr>
      <w:sz w:val="20"/>
      <w:szCs w:val="20"/>
    </w:rPr>
  </w:style>
  <w:style w:type="paragraph" w:styleId="CommentSubject">
    <w:name w:val="annotation subject"/>
    <w:basedOn w:val="CommentText"/>
    <w:next w:val="CommentText"/>
    <w:link w:val="CommentSubjectChar"/>
    <w:uiPriority w:val="99"/>
    <w:semiHidden/>
    <w:unhideWhenUsed/>
    <w:rsid w:val="00326D4E"/>
    <w:rPr>
      <w:b/>
      <w:bCs/>
    </w:rPr>
  </w:style>
  <w:style w:type="character" w:customStyle="1" w:styleId="CommentSubjectChar">
    <w:name w:val="Comment Subject Char"/>
    <w:basedOn w:val="CommentTextChar"/>
    <w:link w:val="CommentSubject"/>
    <w:uiPriority w:val="99"/>
    <w:semiHidden/>
    <w:rsid w:val="00326D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8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doi.org/10.1164/rccm.202201-0136SO"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4103/ijstd.ijstd_114_24" TargetMode="Externa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yperlink" Target="https://doi.org/10.1111/1468-0009.12574"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777</Words>
  <Characters>4430</Characters>
  <Application>Microsoft Office Word</Application>
  <DocSecurity>0</DocSecurity>
  <Lines>36</Lines>
  <Paragraphs>10</Paragraphs>
  <ScaleCrop>false</ScaleCrop>
  <Company>MRT www.Win2Farsi.com</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nyx</cp:lastModifiedBy>
  <cp:revision>12</cp:revision>
  <dcterms:created xsi:type="dcterms:W3CDTF">2026-05-02T23:00:00Z</dcterms:created>
  <dcterms:modified xsi:type="dcterms:W3CDTF">2026-05-03T00:47:00Z</dcterms:modified>
</cp:coreProperties>
</file>