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D9FF2" w14:textId="77777777" w:rsidR="000E6398" w:rsidRDefault="000E6398" w:rsidP="00724A3B">
      <w:pPr>
        <w:spacing w:line="480" w:lineRule="auto"/>
      </w:pPr>
    </w:p>
    <w:p w14:paraId="13565732" w14:textId="77777777" w:rsidR="0048245B" w:rsidRDefault="0048245B" w:rsidP="00724A3B">
      <w:pPr>
        <w:spacing w:line="480" w:lineRule="auto"/>
        <w:jc w:val="center"/>
        <w:rPr>
          <w:b/>
          <w:bCs/>
        </w:rPr>
      </w:pPr>
    </w:p>
    <w:p w14:paraId="45F78A90" w14:textId="77777777" w:rsidR="0048245B" w:rsidRDefault="0048245B" w:rsidP="00724A3B">
      <w:pPr>
        <w:spacing w:line="480" w:lineRule="auto"/>
        <w:jc w:val="center"/>
        <w:rPr>
          <w:b/>
          <w:bCs/>
        </w:rPr>
      </w:pPr>
    </w:p>
    <w:p w14:paraId="37938BF2" w14:textId="77777777" w:rsidR="0048245B" w:rsidRDefault="0048245B" w:rsidP="00724A3B">
      <w:pPr>
        <w:spacing w:line="480" w:lineRule="auto"/>
        <w:jc w:val="center"/>
        <w:rPr>
          <w:b/>
          <w:bCs/>
        </w:rPr>
      </w:pPr>
    </w:p>
    <w:p w14:paraId="0BEEA7FA" w14:textId="77777777" w:rsidR="0048245B" w:rsidRDefault="0048245B" w:rsidP="00724A3B">
      <w:pPr>
        <w:spacing w:line="480" w:lineRule="auto"/>
        <w:jc w:val="center"/>
        <w:rPr>
          <w:b/>
          <w:bCs/>
        </w:rPr>
      </w:pPr>
    </w:p>
    <w:p w14:paraId="1A027636" w14:textId="77777777" w:rsidR="0048245B" w:rsidRDefault="0048245B" w:rsidP="00724A3B">
      <w:pPr>
        <w:spacing w:line="480" w:lineRule="auto"/>
        <w:jc w:val="center"/>
        <w:rPr>
          <w:b/>
          <w:bCs/>
        </w:rPr>
      </w:pPr>
    </w:p>
    <w:p w14:paraId="50CC785F" w14:textId="77777777" w:rsidR="0048245B" w:rsidRDefault="0048245B" w:rsidP="00724A3B">
      <w:pPr>
        <w:spacing w:line="480" w:lineRule="auto"/>
        <w:jc w:val="center"/>
        <w:rPr>
          <w:b/>
          <w:bCs/>
        </w:rPr>
      </w:pPr>
    </w:p>
    <w:p w14:paraId="55DDE612" w14:textId="6B7DB66E" w:rsidR="000E6398" w:rsidRDefault="00000000" w:rsidP="00724A3B">
      <w:pPr>
        <w:spacing w:line="480" w:lineRule="auto"/>
        <w:jc w:val="center"/>
      </w:pPr>
      <w:r>
        <w:rPr>
          <w:b/>
          <w:bCs/>
        </w:rPr>
        <w:t>Unveiling the Psychological Mechanisms of Mutual Help Groups: A Review</w:t>
      </w:r>
    </w:p>
    <w:p w14:paraId="3CD0349A" w14:textId="77777777" w:rsidR="000E6398" w:rsidRDefault="000E6398" w:rsidP="00724A3B">
      <w:pPr>
        <w:spacing w:line="480" w:lineRule="auto"/>
      </w:pPr>
    </w:p>
    <w:p w14:paraId="1A7EDFA6" w14:textId="77777777" w:rsidR="000E6398" w:rsidRDefault="00000000" w:rsidP="00724A3B">
      <w:pPr>
        <w:spacing w:line="480" w:lineRule="auto"/>
        <w:jc w:val="center"/>
      </w:pPr>
      <w:r>
        <w:t>[Student Name]</w:t>
      </w:r>
    </w:p>
    <w:p w14:paraId="1056A5C5" w14:textId="77777777" w:rsidR="000E6398" w:rsidRDefault="00000000" w:rsidP="00724A3B">
      <w:pPr>
        <w:spacing w:line="480" w:lineRule="auto"/>
        <w:jc w:val="center"/>
      </w:pPr>
      <w:r>
        <w:t>[University Name]</w:t>
      </w:r>
    </w:p>
    <w:p w14:paraId="67222E76" w14:textId="77777777" w:rsidR="000E6398" w:rsidRDefault="00000000" w:rsidP="00724A3B">
      <w:pPr>
        <w:spacing w:line="480" w:lineRule="auto"/>
        <w:jc w:val="center"/>
      </w:pPr>
      <w:r>
        <w:t>[Course Name and Number]</w:t>
      </w:r>
    </w:p>
    <w:p w14:paraId="255D520A" w14:textId="77777777" w:rsidR="000E6398" w:rsidRDefault="00000000" w:rsidP="00724A3B">
      <w:pPr>
        <w:spacing w:line="480" w:lineRule="auto"/>
        <w:jc w:val="center"/>
      </w:pPr>
      <w:r>
        <w:t>[Instructor Name]</w:t>
      </w:r>
    </w:p>
    <w:p w14:paraId="08211610" w14:textId="77777777" w:rsidR="000E6398" w:rsidRDefault="00000000" w:rsidP="00724A3B">
      <w:pPr>
        <w:spacing w:line="480" w:lineRule="auto"/>
        <w:jc w:val="center"/>
      </w:pPr>
      <w:r>
        <w:t>[Assignment Due Date]</w:t>
      </w:r>
    </w:p>
    <w:p w14:paraId="785821C6" w14:textId="77777777" w:rsidR="000E6398" w:rsidRDefault="000E6398" w:rsidP="00724A3B">
      <w:pPr>
        <w:pageBreakBefore/>
        <w:spacing w:line="480" w:lineRule="auto"/>
      </w:pPr>
    </w:p>
    <w:p w14:paraId="7CE860D1" w14:textId="0BEF7877" w:rsidR="000E6398" w:rsidRDefault="00000000" w:rsidP="00724A3B">
      <w:pPr>
        <w:spacing w:line="480" w:lineRule="auto"/>
        <w:jc w:val="center"/>
      </w:pPr>
      <w:r>
        <w:rPr>
          <w:b/>
          <w:bCs/>
        </w:rPr>
        <w:t>Abstract</w:t>
      </w:r>
    </w:p>
    <w:p w14:paraId="79D71C2C" w14:textId="211DB683" w:rsidR="000E6398" w:rsidRDefault="008728A3" w:rsidP="00724A3B">
      <w:pPr>
        <w:spacing w:line="480" w:lineRule="auto"/>
        <w:ind w:firstLine="720"/>
      </w:pPr>
      <w:r w:rsidRPr="008728A3">
        <w:t>This paper is a review of an article titled</w:t>
      </w:r>
      <w:commentRangeStart w:id="0"/>
      <w:r w:rsidRPr="008728A3">
        <w:t>:</w:t>
      </w:r>
      <w:commentRangeEnd w:id="0"/>
      <w:r w:rsidR="003F306B" w:rsidRPr="008728A3">
        <w:rPr>
          <w:rStyle w:val="CommentReference"/>
          <w:sz w:val="24"/>
          <w:szCs w:val="24"/>
        </w:rPr>
        <w:commentReference w:id="0"/>
      </w:r>
      <w:r w:rsidRPr="008728A3">
        <w:t xml:space="preserve"> </w:t>
      </w:r>
      <w:commentRangeStart w:id="1"/>
      <w:r w:rsidRPr="008728A3">
        <w:t xml:space="preserve">Unveiling the Psychological Mechanisms of Mutual Help Groups to Recovery an Addiction: The Influence of Social Identity Factors </w:t>
      </w:r>
      <w:commentRangeEnd w:id="1"/>
      <w:r w:rsidR="003F306B" w:rsidRPr="008728A3">
        <w:rPr>
          <w:rStyle w:val="CommentReference"/>
          <w:sz w:val="24"/>
          <w:szCs w:val="24"/>
        </w:rPr>
        <w:commentReference w:id="1"/>
      </w:r>
      <w:r w:rsidRPr="008728A3">
        <w:t xml:space="preserve">by Blondé, Falomir-Pichastor, and Desrichard (2024) published in the British Journal of Social Psychology. The paper explores the social identity mechanism behind the success of mutual help groups (MHGs) in facilitating addiction recovery. The authors based their study on 820 smokers who used an online smoking cessation program in Switzerland to test the sequential mediation model whereby social support was used to predict group identification, which subsequently predicted recovery identity, self-efficacy, and subsequent smoking abstinence. Findings indicated the full mediation pathway by showing that social support, group identification, recovery identity, and self-efficacy all contribute to recovery outcomes uniquely and sequentially. </w:t>
      </w:r>
      <w:commentRangeStart w:id="2"/>
      <w:r w:rsidRPr="008728A3">
        <w:t>The research results should be of much importance to clinicians and program developers who design support group delivery in terms of substance use recovery</w:t>
      </w:r>
      <w:r>
        <w:t>.</w:t>
      </w:r>
      <w:commentRangeEnd w:id="2"/>
      <w:r w:rsidR="003F306B">
        <w:rPr>
          <w:rStyle w:val="CommentReference"/>
          <w:sz w:val="24"/>
          <w:szCs w:val="24"/>
        </w:rPr>
        <w:commentReference w:id="2"/>
      </w:r>
    </w:p>
    <w:p w14:paraId="4C60B3B4" w14:textId="77777777" w:rsidR="000E6398" w:rsidRDefault="000E6398" w:rsidP="00724A3B">
      <w:pPr>
        <w:spacing w:line="480" w:lineRule="auto"/>
      </w:pPr>
    </w:p>
    <w:p w14:paraId="34DAD3A3" w14:textId="77777777" w:rsidR="000E6398" w:rsidRDefault="00000000" w:rsidP="00724A3B">
      <w:pPr>
        <w:spacing w:line="480" w:lineRule="auto"/>
      </w:pPr>
      <w:r>
        <w:t xml:space="preserve">Keywords: </w:t>
      </w:r>
      <w:r>
        <w:rPr>
          <w:i/>
          <w:iCs/>
        </w:rPr>
        <w:t>mutual help groups, social identity, addiction recovery, smoking cessation, self-efficacy</w:t>
      </w:r>
    </w:p>
    <w:p w14:paraId="49F5E67C" w14:textId="77777777" w:rsidR="000E6398" w:rsidRDefault="000E6398" w:rsidP="00724A3B">
      <w:pPr>
        <w:pageBreakBefore/>
        <w:spacing w:line="480" w:lineRule="auto"/>
      </w:pPr>
    </w:p>
    <w:p w14:paraId="595704E8" w14:textId="54889579" w:rsidR="000E6398" w:rsidRDefault="00000000" w:rsidP="00724A3B">
      <w:pPr>
        <w:spacing w:line="480" w:lineRule="auto"/>
        <w:jc w:val="center"/>
      </w:pPr>
      <w:r>
        <w:rPr>
          <w:b/>
          <w:bCs/>
        </w:rPr>
        <w:t>Unveiling the Psychological Mechanisms of Mutual Help Groups: A Review</w:t>
      </w:r>
    </w:p>
    <w:p w14:paraId="702E51DB" w14:textId="291343CC" w:rsidR="000E6398" w:rsidRDefault="008728A3" w:rsidP="00724A3B">
      <w:pPr>
        <w:spacing w:line="480" w:lineRule="auto"/>
        <w:ind w:firstLine="720"/>
      </w:pPr>
      <w:r w:rsidRPr="008728A3">
        <w:t xml:space="preserve">The process of recovery of addiction is hardly linear. Sustainable abstinence is attained through a series of attempts, relapses, and bouts of confusion. Mutual help groups (MHGs), like Alcoholics Anonymous and other peer-based programs, </w:t>
      </w:r>
      <w:commentRangeStart w:id="3"/>
      <w:r w:rsidRPr="008728A3">
        <w:t>have been known since time immemorial as helpful resources in this journey</w:t>
      </w:r>
      <w:commentRangeEnd w:id="3"/>
      <w:r w:rsidR="00313462" w:rsidRPr="008728A3">
        <w:rPr>
          <w:rStyle w:val="CommentReference"/>
          <w:sz w:val="24"/>
          <w:szCs w:val="24"/>
        </w:rPr>
        <w:commentReference w:id="3"/>
      </w:r>
      <w:r w:rsidRPr="008728A3">
        <w:t xml:space="preserve">. The psychological processes that underlie how these groups work have, however, been less well </w:t>
      </w:r>
      <w:commentRangeStart w:id="4"/>
      <w:r w:rsidRPr="008728A3">
        <w:t>comprehended</w:t>
      </w:r>
      <w:commentRangeEnd w:id="4"/>
      <w:r w:rsidR="00313462" w:rsidRPr="008728A3">
        <w:rPr>
          <w:rStyle w:val="CommentReference"/>
          <w:sz w:val="24"/>
          <w:szCs w:val="24"/>
        </w:rPr>
        <w:commentReference w:id="4"/>
      </w:r>
      <w:r w:rsidRPr="008728A3">
        <w:t xml:space="preserve">. </w:t>
      </w:r>
      <w:commentRangeStart w:id="5"/>
      <w:r w:rsidRPr="008728A3">
        <w:t xml:space="preserve">In 2024, Blondé, Falomir-Pichastor, and Desrichard </w:t>
      </w:r>
      <w:commentRangeEnd w:id="5"/>
      <w:r w:rsidR="0052384A" w:rsidRPr="008728A3">
        <w:rPr>
          <w:rStyle w:val="CommentReference"/>
          <w:sz w:val="24"/>
          <w:szCs w:val="24"/>
        </w:rPr>
        <w:commentReference w:id="5"/>
      </w:r>
      <w:r w:rsidRPr="008728A3">
        <w:t xml:space="preserve">published a study </w:t>
      </w:r>
      <w:commentRangeStart w:id="6"/>
      <w:r w:rsidRPr="008728A3">
        <w:t>aimed to</w:t>
      </w:r>
      <w:commentRangeEnd w:id="6"/>
      <w:r w:rsidR="00313462" w:rsidRPr="008728A3">
        <w:rPr>
          <w:rStyle w:val="CommentReference"/>
          <w:sz w:val="24"/>
          <w:szCs w:val="24"/>
        </w:rPr>
        <w:commentReference w:id="6"/>
      </w:r>
      <w:r w:rsidRPr="008728A3">
        <w:t xml:space="preserve"> fill this gap and investigate social identity processes underlying MHG effectiveness. In particular, the authors hypothesized and examined a sequential mediation model between social support and smoking abstinence via group identification, recovery identity, and self-efficacy. The purpose, methods, and findings of the article are summarized, and the article is evaluated regarding what it contributed and what limitations it had compared to the support groups and addiction recovery</w:t>
      </w:r>
      <w:r>
        <w:t>.</w:t>
      </w:r>
    </w:p>
    <w:p w14:paraId="7C5E97D3" w14:textId="631CA460" w:rsidR="000E6398" w:rsidRDefault="00000000" w:rsidP="00724A3B">
      <w:pPr>
        <w:spacing w:line="480" w:lineRule="auto"/>
        <w:jc w:val="center"/>
      </w:pPr>
      <w:r>
        <w:rPr>
          <w:b/>
          <w:bCs/>
        </w:rPr>
        <w:t>Summary of the Article</w:t>
      </w:r>
    </w:p>
    <w:p w14:paraId="44ACD099" w14:textId="040A68B4" w:rsidR="00295FBD" w:rsidRDefault="00295FBD" w:rsidP="00724A3B">
      <w:pPr>
        <w:spacing w:line="480" w:lineRule="auto"/>
        <w:ind w:firstLine="720"/>
      </w:pPr>
      <w:r>
        <w:t xml:space="preserve">The paper relied on the theory of social identity and self-categorization as it describes the role of mutual-help groups (MHGs) in recovery. </w:t>
      </w:r>
      <w:commentRangeStart w:id="7"/>
      <w:r>
        <w:t>It hypothesized that in case people have social support delivered by the group, they started identifying with it more intensely</w:t>
      </w:r>
      <w:commentRangeEnd w:id="7"/>
      <w:r w:rsidR="0052384A">
        <w:rPr>
          <w:rStyle w:val="CommentReference"/>
          <w:sz w:val="24"/>
          <w:szCs w:val="24"/>
        </w:rPr>
        <w:commentReference w:id="7"/>
      </w:r>
      <w:r>
        <w:t xml:space="preserve">. This greater identification then leads to a replacement of an addict identity by a recovery identity. Such identity change </w:t>
      </w:r>
      <w:commentRangeStart w:id="8"/>
      <w:r>
        <w:t>in its turn prom</w:t>
      </w:r>
      <w:commentRangeEnd w:id="8"/>
      <w:r w:rsidR="0052384A">
        <w:rPr>
          <w:rStyle w:val="CommentReference"/>
          <w:sz w:val="24"/>
          <w:szCs w:val="24"/>
        </w:rPr>
        <w:commentReference w:id="8"/>
      </w:r>
      <w:r>
        <w:t>otes self-efficacy which in the end promotes long-term abstinence.</w:t>
      </w:r>
    </w:p>
    <w:p w14:paraId="75E5F2EC" w14:textId="2B564D81" w:rsidR="00295FBD" w:rsidRDefault="00295FBD" w:rsidP="00724A3B">
      <w:pPr>
        <w:spacing w:line="480" w:lineRule="auto"/>
        <w:ind w:firstLine="720"/>
      </w:pPr>
      <w:r>
        <w:t xml:space="preserve">To test this model, researchers used the data from 820 smokers who enrolled in the "I Quit Smoking" program on Facebook in Switzerland. Baseline measures were completed by the participants soon after the program, and abstinence was evaluated at six and nine months. </w:t>
      </w:r>
      <w:commentRangeStart w:id="9"/>
      <w:r>
        <w:t xml:space="preserve">The </w:t>
      </w:r>
      <w:r>
        <w:lastRenderedPageBreak/>
        <w:t xml:space="preserve">results obtained through structural equation modeling and a mediation analysis </w:t>
      </w:r>
      <w:commentRangeStart w:id="10"/>
      <w:r>
        <w:t>showed a clear trend</w:t>
      </w:r>
      <w:commentRangeEnd w:id="10"/>
      <w:r w:rsidR="003F306B">
        <w:rPr>
          <w:rStyle w:val="CommentReference"/>
          <w:sz w:val="24"/>
          <w:szCs w:val="24"/>
        </w:rPr>
        <w:commentReference w:id="10"/>
      </w:r>
      <w:r>
        <w:t xml:space="preserve">. </w:t>
      </w:r>
      <w:commentRangeEnd w:id="9"/>
      <w:r w:rsidR="00313462">
        <w:rPr>
          <w:rStyle w:val="CommentReference"/>
          <w:sz w:val="24"/>
          <w:szCs w:val="24"/>
        </w:rPr>
        <w:commentReference w:id="9"/>
      </w:r>
      <w:r>
        <w:t xml:space="preserve">First, group identification was greatly predicted by social support. The next great step involved a greater recovery identity because of a stronger identification. This was followed by a recovery identity that promoted self-efficacy, which in turn </w:t>
      </w:r>
      <w:commentRangeStart w:id="11"/>
      <w:r>
        <w:t>foretold</w:t>
      </w:r>
      <w:commentRangeEnd w:id="11"/>
      <w:r w:rsidR="003F306B">
        <w:rPr>
          <w:rStyle w:val="CommentReference"/>
          <w:sz w:val="24"/>
          <w:szCs w:val="24"/>
        </w:rPr>
        <w:commentReference w:id="11"/>
      </w:r>
      <w:r>
        <w:t xml:space="preserve"> abstinence during the follow-ups.</w:t>
      </w:r>
    </w:p>
    <w:p w14:paraId="30FE6D60" w14:textId="3BA64A05" w:rsidR="000E6398" w:rsidRDefault="00295FBD" w:rsidP="00724A3B">
      <w:pPr>
        <w:spacing w:line="480" w:lineRule="auto"/>
        <w:ind w:firstLine="720"/>
      </w:pPr>
      <w:r>
        <w:t xml:space="preserve">Notably, the entire sequential pathway was statistically significant even when tobacco dependence was considered. </w:t>
      </w:r>
      <w:commentRangeStart w:id="12"/>
      <w:r>
        <w:t xml:space="preserve">In addition, other models were also experimented with; </w:t>
      </w:r>
      <w:commentRangeEnd w:id="12"/>
      <w:r w:rsidR="00926ED6">
        <w:rPr>
          <w:rStyle w:val="CommentReference"/>
          <w:sz w:val="24"/>
          <w:szCs w:val="24"/>
        </w:rPr>
        <w:commentReference w:id="12"/>
      </w:r>
      <w:r>
        <w:t xml:space="preserve">nevertheless, the proposed model was more explanatory. </w:t>
      </w:r>
      <w:commentRangeStart w:id="13"/>
      <w:r>
        <w:t>The fit was like one alternative, but the paths were non-significan</w:t>
      </w:r>
      <w:commentRangeEnd w:id="13"/>
      <w:r w:rsidR="00926ED6">
        <w:rPr>
          <w:rStyle w:val="CommentReference"/>
          <w:sz w:val="24"/>
          <w:szCs w:val="24"/>
        </w:rPr>
        <w:commentReference w:id="13"/>
      </w:r>
      <w:r>
        <w:t xml:space="preserve">t. Thus, </w:t>
      </w:r>
      <w:commentRangeStart w:id="14"/>
      <w:r>
        <w:t xml:space="preserve">the findings strongly support a great complement to the </w:t>
      </w:r>
      <w:commentRangeEnd w:id="14"/>
      <w:r w:rsidR="00926ED6">
        <w:rPr>
          <w:rStyle w:val="CommentReference"/>
          <w:sz w:val="24"/>
          <w:szCs w:val="24"/>
        </w:rPr>
        <w:commentReference w:id="14"/>
      </w:r>
      <w:r>
        <w:t xml:space="preserve">suggested order and underscore that identification </w:t>
      </w:r>
      <w:commentRangeStart w:id="15"/>
      <w:r>
        <w:t xml:space="preserve">is propelled by social </w:t>
      </w:r>
      <w:commentRangeEnd w:id="15"/>
      <w:r w:rsidR="00926ED6">
        <w:rPr>
          <w:rStyle w:val="CommentReference"/>
          <w:sz w:val="24"/>
          <w:szCs w:val="24"/>
        </w:rPr>
        <w:commentReference w:id="15"/>
      </w:r>
      <w:r>
        <w:t>support, not vice versa.</w:t>
      </w:r>
    </w:p>
    <w:p w14:paraId="1F4E895F" w14:textId="12CBD343" w:rsidR="000E6398" w:rsidRDefault="00000000" w:rsidP="00724A3B">
      <w:pPr>
        <w:spacing w:line="480" w:lineRule="auto"/>
        <w:jc w:val="center"/>
      </w:pPr>
      <w:r>
        <w:rPr>
          <w:b/>
          <w:bCs/>
        </w:rPr>
        <w:t>Evaluation of the Article</w:t>
      </w:r>
    </w:p>
    <w:p w14:paraId="367285A0" w14:textId="538E3D20" w:rsidR="000E1EBD" w:rsidRDefault="000E1EBD" w:rsidP="00724A3B">
      <w:pPr>
        <w:spacing w:line="480" w:lineRule="auto"/>
        <w:ind w:firstLine="720"/>
      </w:pPr>
      <w:r>
        <w:t xml:space="preserve">This </w:t>
      </w:r>
      <w:commentRangeStart w:id="16"/>
      <w:r>
        <w:t xml:space="preserve">article has commendable contributions </w:t>
      </w:r>
      <w:commentRangeEnd w:id="16"/>
      <w:r w:rsidR="00926ED6">
        <w:rPr>
          <w:rStyle w:val="CommentReference"/>
          <w:sz w:val="24"/>
          <w:szCs w:val="24"/>
        </w:rPr>
        <w:commentReference w:id="16"/>
      </w:r>
      <w:r>
        <w:t xml:space="preserve">to the existing literature on support groups and recovery from addiction issues.  </w:t>
      </w:r>
      <w:commentRangeStart w:id="17"/>
      <w:r>
        <w:t>Among its key strengths, the combination of various theoretical constructions into a single testable model can be considered</w:t>
      </w:r>
      <w:commentRangeEnd w:id="17"/>
      <w:r w:rsidR="00926ED6">
        <w:rPr>
          <w:rStyle w:val="CommentReference"/>
          <w:sz w:val="24"/>
          <w:szCs w:val="24"/>
        </w:rPr>
        <w:commentReference w:id="17"/>
      </w:r>
      <w:r>
        <w:t xml:space="preserve">. Prior studies had focused on group identification or recovery identity independently, whereas Blondé et al. (2024) combined them with social support and self-efficacy to produce a more comprehensive account of how MHGs work. The longitudinal design, where abstinence was measured </w:t>
      </w:r>
      <w:commentRangeStart w:id="18"/>
      <w:r>
        <w:t xml:space="preserve">at two follow-up measurements, </w:t>
      </w:r>
      <w:commentRangeEnd w:id="18"/>
      <w:r w:rsidR="00926ED6">
        <w:rPr>
          <w:rStyle w:val="CommentReference"/>
          <w:sz w:val="24"/>
          <w:szCs w:val="24"/>
        </w:rPr>
        <w:commentReference w:id="18"/>
      </w:r>
      <w:r>
        <w:t>provides temporal validity to the results and underlies the hypothesis that social identity mechanisms extend the impact despite the termination of the group program.</w:t>
      </w:r>
    </w:p>
    <w:p w14:paraId="75C38C1D" w14:textId="2D472F2B" w:rsidR="000E1EBD" w:rsidRDefault="000E1EBD" w:rsidP="00724A3B">
      <w:pPr>
        <w:spacing w:line="480" w:lineRule="auto"/>
        <w:ind w:firstLine="720"/>
      </w:pPr>
      <w:r>
        <w:t>The second strength is the applicability of the sample to the real world. The study was based on a real-life, nationwide program that enrolled thousands of participants, as opposed to a laboratory setting. This environmental validity</w:t>
      </w:r>
      <w:commentRangeStart w:id="19"/>
      <w:r>
        <w:t xml:space="preserve"> uses the confidence that the results can be applied </w:t>
      </w:r>
      <w:r>
        <w:lastRenderedPageBreak/>
        <w:t>in practice.</w:t>
      </w:r>
      <w:commentRangeEnd w:id="19"/>
      <w:r w:rsidR="00926ED6">
        <w:rPr>
          <w:rStyle w:val="CommentReference"/>
          <w:sz w:val="24"/>
          <w:szCs w:val="24"/>
        </w:rPr>
        <w:commentReference w:id="19"/>
      </w:r>
      <w:r>
        <w:t xml:space="preserve"> </w:t>
      </w:r>
      <w:commentRangeStart w:id="20"/>
      <w:r>
        <w:t>Simple path-by-path analyses also cannot model complex indirect effects with multiple mediators in the same way as the use of SEM; this methodology is more rigorous.</w:t>
      </w:r>
      <w:commentRangeEnd w:id="20"/>
      <w:r w:rsidR="00926ED6">
        <w:rPr>
          <w:rStyle w:val="CommentReference"/>
          <w:sz w:val="24"/>
          <w:szCs w:val="24"/>
        </w:rPr>
        <w:commentReference w:id="20"/>
      </w:r>
    </w:p>
    <w:p w14:paraId="4DD2582A" w14:textId="325820D9" w:rsidR="000E1EBD" w:rsidRDefault="000E1EBD" w:rsidP="00724A3B">
      <w:pPr>
        <w:spacing w:line="480" w:lineRule="auto"/>
        <w:ind w:firstLine="720"/>
      </w:pPr>
      <w:commentRangeStart w:id="21"/>
      <w:r>
        <w:t xml:space="preserve">However, the study has significant limitations. The authors give due credit to the fact that, </w:t>
      </w:r>
      <w:commentRangeStart w:id="22"/>
      <w:r>
        <w:t>because cross-sectional analysis is the measure of all predictors at a single point in time (T1), this cannot be regarded as true causality</w:t>
      </w:r>
      <w:commentRangeEnd w:id="22"/>
      <w:r w:rsidR="003F306B">
        <w:rPr>
          <w:rStyle w:val="CommentReference"/>
          <w:sz w:val="24"/>
          <w:szCs w:val="24"/>
        </w:rPr>
        <w:commentReference w:id="22"/>
      </w:r>
      <w:commentRangeStart w:id="23"/>
      <w:r>
        <w:t xml:space="preserve">. It has been recognized that the relationships among social support, group identification, and recovery identity could be potentially bidirectional; i.e, a stronger recovery identity could be supportive of group identification. These </w:t>
      </w:r>
      <w:commentRangeEnd w:id="23"/>
      <w:r w:rsidR="003F306B">
        <w:rPr>
          <w:rStyle w:val="CommentReference"/>
          <w:sz w:val="24"/>
          <w:szCs w:val="24"/>
        </w:rPr>
        <w:commentReference w:id="23"/>
      </w:r>
      <w:r>
        <w:t>dynamic relationships would be clarified by future longitudinal studies, where repeated measures of all constructions would be taken.</w:t>
      </w:r>
      <w:commentRangeEnd w:id="21"/>
      <w:r w:rsidR="00926ED6">
        <w:rPr>
          <w:rStyle w:val="CommentReference"/>
          <w:sz w:val="24"/>
          <w:szCs w:val="24"/>
        </w:rPr>
        <w:commentReference w:id="21"/>
      </w:r>
    </w:p>
    <w:p w14:paraId="58DB14A3" w14:textId="72C0A6CF" w:rsidR="000E1EBD" w:rsidRDefault="000E1EBD" w:rsidP="00724A3B">
      <w:pPr>
        <w:spacing w:line="480" w:lineRule="auto"/>
        <w:ind w:firstLine="720"/>
      </w:pPr>
      <w:r>
        <w:t>The dropout rates are also a concern. At the six-month follow-up, it lost more than half of the participants (56.8%), and two-thirds (66.</w:t>
      </w:r>
      <w:commentRangeStart w:id="24"/>
      <w:r>
        <w:t>34</w:t>
      </w:r>
      <w:commentRangeEnd w:id="24"/>
      <w:r w:rsidR="00926ED6">
        <w:rPr>
          <w:rStyle w:val="CommentReference"/>
          <w:sz w:val="24"/>
          <w:szCs w:val="24"/>
        </w:rPr>
        <w:commentReference w:id="24"/>
      </w:r>
      <w:r>
        <w:t>) at the nine-month follow-up. While multiple imputation techniques were used to address this, such high attrition rates raise questions about selection bias; those who remained in the study may have been more motivated or more socially connected from the outset. This restricts the extrapolation of results to those individuals who do not stay in programs</w:t>
      </w:r>
      <w:commentRangeStart w:id="25"/>
      <w:r>
        <w:t>, an important subgroup in the work of recovery addiction.</w:t>
      </w:r>
      <w:commentRangeEnd w:id="25"/>
      <w:r w:rsidR="00926ED6">
        <w:rPr>
          <w:rStyle w:val="CommentReference"/>
          <w:sz w:val="24"/>
          <w:szCs w:val="24"/>
        </w:rPr>
        <w:commentReference w:id="25"/>
      </w:r>
    </w:p>
    <w:p w14:paraId="5D88B279" w14:textId="63CC3CD9" w:rsidR="000E6398" w:rsidRDefault="000E1EBD" w:rsidP="00724A3B">
      <w:pPr>
        <w:spacing w:line="480" w:lineRule="auto"/>
        <w:ind w:firstLine="720"/>
      </w:pPr>
      <w:r>
        <w:t xml:space="preserve">Additionally, the measure of social support was limited to two items focused on perceived emotional and informational support received from other members. The multidimensional aspect of social support, including instrumental support, belonging, and support provided to others rather than received, was not captured. </w:t>
      </w:r>
      <w:commentRangeStart w:id="26"/>
      <w:r>
        <w:t>Research indicates that support could be as effective as it is helpful to others (Blondé et al., 2024).</w:t>
      </w:r>
      <w:commentRangeEnd w:id="26"/>
      <w:r w:rsidR="00313462">
        <w:rPr>
          <w:rStyle w:val="CommentReference"/>
          <w:sz w:val="24"/>
          <w:szCs w:val="24"/>
        </w:rPr>
        <w:commentReference w:id="26"/>
      </w:r>
      <w:r>
        <w:t xml:space="preserve"> This aspect is worth studying in the future.</w:t>
      </w:r>
    </w:p>
    <w:p w14:paraId="39F34332" w14:textId="307474A0" w:rsidR="000E6398" w:rsidRDefault="00000000" w:rsidP="00724A3B">
      <w:pPr>
        <w:spacing w:line="480" w:lineRule="auto"/>
        <w:jc w:val="center"/>
      </w:pPr>
      <w:r>
        <w:rPr>
          <w:b/>
          <w:bCs/>
        </w:rPr>
        <w:t>Implications for Practice</w:t>
      </w:r>
    </w:p>
    <w:p w14:paraId="2D735441" w14:textId="762DB926" w:rsidR="00BC5730" w:rsidRDefault="00BC5730" w:rsidP="00724A3B">
      <w:pPr>
        <w:spacing w:line="480" w:lineRule="auto"/>
        <w:ind w:firstLine="720"/>
      </w:pPr>
      <w:r>
        <w:lastRenderedPageBreak/>
        <w:t>The implications of the findings are discussed clearly and practically to practitioners in the field of substance abuse treatment and recovery</w:t>
      </w:r>
      <w:commentRangeStart w:id="27"/>
      <w:r>
        <w:t>. When social support actually is the trigger that ignites the process of group identification and eventually recovery identity, then clinicians and program administrators need to focus more on providing an environment in which participants have a real sense of social support, at the earliest stage of their participation</w:t>
      </w:r>
      <w:commentRangeEnd w:id="27"/>
      <w:r w:rsidR="00313462">
        <w:rPr>
          <w:rStyle w:val="CommentReference"/>
          <w:sz w:val="24"/>
          <w:szCs w:val="24"/>
        </w:rPr>
        <w:commentReference w:id="27"/>
      </w:r>
      <w:r>
        <w:t>. It is not merely the delivery of information or guided sessions; it is about cultivating a sense of belonging and mutual care among group members.</w:t>
      </w:r>
    </w:p>
    <w:p w14:paraId="4DE9CE24" w14:textId="5324E5A8" w:rsidR="000E6398" w:rsidRDefault="00BC5730" w:rsidP="00724A3B">
      <w:pPr>
        <w:spacing w:line="480" w:lineRule="auto"/>
        <w:ind w:firstLine="720"/>
      </w:pPr>
      <w:r>
        <w:t xml:space="preserve">Programs enabling the development of strong interpersonal relationships and peer support will probably record improved results, since the relationships are the foundation of such an identity change that maintains a sustained recovery. </w:t>
      </w:r>
      <w:commentRangeStart w:id="28"/>
      <w:r>
        <w:t xml:space="preserve">Online MHGs, such as those investigated in this research, have an opportunity to connect with a wide range of populations that might otherwise struggle to access face-to-face groups, such as those with stigma, mobility, or geographic factors. </w:t>
      </w:r>
      <w:commentRangeEnd w:id="28"/>
      <w:r w:rsidR="00313462">
        <w:rPr>
          <w:rStyle w:val="CommentReference"/>
          <w:sz w:val="24"/>
          <w:szCs w:val="24"/>
        </w:rPr>
        <w:commentReference w:id="28"/>
      </w:r>
      <w:r>
        <w:t>The findings suggest that social identity processes needed to bring about enduring change can be developed in even virtual communities as long as they have sufficient social support systems.</w:t>
      </w:r>
    </w:p>
    <w:p w14:paraId="20AA98AF" w14:textId="31D76728" w:rsidR="000E6398" w:rsidRDefault="00000000" w:rsidP="00724A3B">
      <w:pPr>
        <w:spacing w:line="480" w:lineRule="auto"/>
        <w:jc w:val="center"/>
      </w:pPr>
      <w:r>
        <w:rPr>
          <w:b/>
          <w:bCs/>
        </w:rPr>
        <w:t>Conclusion</w:t>
      </w:r>
    </w:p>
    <w:p w14:paraId="4BB03E3A" w14:textId="0BDD4D5E" w:rsidR="000E6398" w:rsidRDefault="00BC5730" w:rsidP="00724A3B">
      <w:pPr>
        <w:spacing w:line="480" w:lineRule="auto"/>
        <w:ind w:firstLine="720"/>
      </w:pPr>
      <w:r w:rsidRPr="00BC5730">
        <w:t xml:space="preserve">Blondé et al. (2024) offer a useful and well-constructed analysis of the psychological mechanisms of MHG effectiveness. The study provides a more in-depth insight into why peer-based support groups can enable individuals to maintain abstinence by showing that social support to individuals results in a cascade of social identity, differentiating between group identification and recovery identity and self-efficacy. Nevertheless, </w:t>
      </w:r>
      <w:commentRangeStart w:id="29"/>
      <w:r w:rsidRPr="00BC5730">
        <w:t xml:space="preserve">notwithstanding the associated cost in assessing causality </w:t>
      </w:r>
      <w:commentRangeEnd w:id="29"/>
      <w:r w:rsidR="00313462" w:rsidRPr="00BC5730">
        <w:rPr>
          <w:rStyle w:val="CommentReference"/>
          <w:sz w:val="24"/>
          <w:szCs w:val="24"/>
        </w:rPr>
        <w:commentReference w:id="29"/>
      </w:r>
      <w:r w:rsidRPr="00BC5730">
        <w:t xml:space="preserve">and loss to follow-up, the methodology and research are </w:t>
      </w:r>
      <w:r w:rsidRPr="00BC5730">
        <w:lastRenderedPageBreak/>
        <w:t>good and relevant in practical use. It confirms that relational and identity-related aspects of MHGs are not marginal, but key to the efficacy in aiding addiction recovery.</w:t>
      </w:r>
    </w:p>
    <w:p w14:paraId="435009F1" w14:textId="77777777" w:rsidR="000E6398" w:rsidRDefault="000E6398" w:rsidP="00724A3B">
      <w:pPr>
        <w:spacing w:line="480" w:lineRule="auto"/>
      </w:pPr>
    </w:p>
    <w:p w14:paraId="709A3857" w14:textId="77777777" w:rsidR="000E6398" w:rsidRDefault="000E6398" w:rsidP="00724A3B">
      <w:pPr>
        <w:pageBreakBefore/>
        <w:spacing w:line="480" w:lineRule="auto"/>
      </w:pPr>
    </w:p>
    <w:p w14:paraId="5D45754B" w14:textId="785D6BBC" w:rsidR="000E6398" w:rsidRDefault="00000000" w:rsidP="00724A3B">
      <w:pPr>
        <w:spacing w:line="480" w:lineRule="auto"/>
        <w:jc w:val="center"/>
      </w:pPr>
      <w:r>
        <w:rPr>
          <w:b/>
          <w:bCs/>
        </w:rPr>
        <w:t>References</w:t>
      </w:r>
    </w:p>
    <w:p w14:paraId="4CB19E9A" w14:textId="77777777" w:rsidR="000E6398" w:rsidRDefault="00000000" w:rsidP="00724A3B">
      <w:pPr>
        <w:spacing w:line="480" w:lineRule="auto"/>
        <w:ind w:left="720" w:hanging="720"/>
      </w:pPr>
      <w:r>
        <w:t xml:space="preserve">Blondé, J., Falomir-Pichastor, J. M., &amp; Desrichard, O. (2024). Unveiling the psychological mechanisms of mutual help groups for addiction recovery: The role of social identity factors. </w:t>
      </w:r>
      <w:r>
        <w:rPr>
          <w:i/>
          <w:iCs/>
        </w:rPr>
        <w:t>British Journal of Social Psychology, 63</w:t>
      </w:r>
      <w:r>
        <w:t>, 2011–2030. https://doi.org/10.1111/bjso.12771</w:t>
      </w:r>
    </w:p>
    <w:sectPr w:rsidR="000E6398">
      <w:headerReference w:type="default" r:id="rId11"/>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ditor" w:date="2026-05-06T07:52:00Z" w:initials="N">
    <w:p w14:paraId="371FCAF3" w14:textId="77777777" w:rsidR="003F306B" w:rsidRDefault="003F306B" w:rsidP="003F306B">
      <w:pPr>
        <w:pStyle w:val="CommentText"/>
      </w:pPr>
      <w:r>
        <w:rPr>
          <w:rStyle w:val="CommentReference"/>
        </w:rPr>
        <w:annotationRef/>
      </w:r>
      <w:r>
        <w:t xml:space="preserve">Remove </w:t>
      </w:r>
    </w:p>
  </w:comment>
  <w:comment w:id="1" w:author="Editor" w:date="2026-05-06T07:52:00Z" w:initials="N">
    <w:p w14:paraId="30533060" w14:textId="77777777" w:rsidR="003F306B" w:rsidRDefault="003F306B" w:rsidP="003F306B">
      <w:pPr>
        <w:pStyle w:val="CommentText"/>
      </w:pPr>
      <w:r>
        <w:rPr>
          <w:rStyle w:val="CommentReference"/>
        </w:rPr>
        <w:annotationRef/>
      </w:r>
      <w:r>
        <w:t xml:space="preserve">Italics </w:t>
      </w:r>
    </w:p>
  </w:comment>
  <w:comment w:id="2" w:author="Editor" w:date="2026-05-06T07:53:00Z" w:initials="N">
    <w:p w14:paraId="67C6F8F1" w14:textId="77777777" w:rsidR="003F306B" w:rsidRDefault="003F306B" w:rsidP="003F306B">
      <w:pPr>
        <w:pStyle w:val="CommentText"/>
      </w:pPr>
      <w:r>
        <w:rPr>
          <w:rStyle w:val="CommentReference"/>
        </w:rPr>
        <w:annotationRef/>
      </w:r>
      <w:r>
        <w:t>bc14</w:t>
      </w:r>
    </w:p>
  </w:comment>
  <w:comment w:id="3" w:author="Editor" w:date="2026-05-06T07:47:00Z" w:initials="N">
    <w:p w14:paraId="274B80B2" w14:textId="77777777" w:rsidR="00313462" w:rsidRDefault="00313462" w:rsidP="00313462">
      <w:pPr>
        <w:pStyle w:val="CommentText"/>
      </w:pPr>
      <w:r>
        <w:rPr>
          <w:rStyle w:val="CommentReference"/>
        </w:rPr>
        <w:annotationRef/>
      </w:r>
      <w:r>
        <w:t xml:space="preserve">Bc15 bc32 </w:t>
      </w:r>
    </w:p>
  </w:comment>
  <w:comment w:id="4" w:author="Editor" w:date="2026-05-06T07:48:00Z" w:initials="N">
    <w:p w14:paraId="4D7948BF" w14:textId="77777777" w:rsidR="00313462" w:rsidRDefault="00313462" w:rsidP="00313462">
      <w:pPr>
        <w:pStyle w:val="CommentText"/>
      </w:pPr>
      <w:r>
        <w:rPr>
          <w:rStyle w:val="CommentReference"/>
        </w:rPr>
        <w:annotationRef/>
      </w:r>
      <w:r>
        <w:t>bc15</w:t>
      </w:r>
    </w:p>
  </w:comment>
  <w:comment w:id="5" w:author="Editor" w:date="2026-05-06T07:26:00Z" w:initials="N">
    <w:p w14:paraId="1D31F830" w14:textId="77777777" w:rsidR="0052384A" w:rsidRDefault="0052384A" w:rsidP="0052384A">
      <w:pPr>
        <w:pStyle w:val="CommentText"/>
      </w:pPr>
      <w:r>
        <w:rPr>
          <w:rStyle w:val="CommentReference"/>
        </w:rPr>
        <w:annotationRef/>
      </w:r>
      <w:r>
        <w:t>bc29</w:t>
      </w:r>
    </w:p>
  </w:comment>
  <w:comment w:id="6" w:author="Editor" w:date="2026-05-06T07:48:00Z" w:initials="N">
    <w:p w14:paraId="27275C1C" w14:textId="77777777" w:rsidR="00313462" w:rsidRDefault="00313462" w:rsidP="00313462">
      <w:pPr>
        <w:pStyle w:val="CommentText"/>
      </w:pPr>
      <w:r>
        <w:rPr>
          <w:rStyle w:val="CommentReference"/>
        </w:rPr>
        <w:annotationRef/>
      </w:r>
      <w:r>
        <w:t xml:space="preserve">Aimed at filling </w:t>
      </w:r>
    </w:p>
  </w:comment>
  <w:comment w:id="7" w:author="Editor" w:date="2026-05-06T07:35:00Z" w:initials="N">
    <w:p w14:paraId="28E83DB0" w14:textId="77777777" w:rsidR="0052384A" w:rsidRDefault="0052384A" w:rsidP="0052384A">
      <w:pPr>
        <w:pStyle w:val="CommentText"/>
      </w:pPr>
      <w:r>
        <w:rPr>
          <w:rStyle w:val="CommentReference"/>
        </w:rPr>
        <w:annotationRef/>
      </w:r>
      <w:r>
        <w:t>Bc14 bc16</w:t>
      </w:r>
    </w:p>
  </w:comment>
  <w:comment w:id="8" w:author="Editor" w:date="2026-05-06T07:36:00Z" w:initials="N">
    <w:p w14:paraId="2A9E1D56" w14:textId="77777777" w:rsidR="0052384A" w:rsidRDefault="0052384A" w:rsidP="0052384A">
      <w:pPr>
        <w:pStyle w:val="CommentText"/>
      </w:pPr>
      <w:r>
        <w:rPr>
          <w:rStyle w:val="CommentReference"/>
        </w:rPr>
        <w:annotationRef/>
      </w:r>
      <w:r>
        <w:t>bc13</w:t>
      </w:r>
    </w:p>
  </w:comment>
  <w:comment w:id="10" w:author="Editor" w:date="2026-05-06T07:54:00Z" w:initials="N">
    <w:p w14:paraId="79C362C1" w14:textId="77777777" w:rsidR="003F306B" w:rsidRDefault="003F306B" w:rsidP="003F306B">
      <w:pPr>
        <w:pStyle w:val="CommentText"/>
      </w:pPr>
      <w:r>
        <w:rPr>
          <w:rStyle w:val="CommentReference"/>
        </w:rPr>
        <w:annotationRef/>
      </w:r>
      <w:r>
        <w:t xml:space="preserve">supported the proposed model </w:t>
      </w:r>
    </w:p>
  </w:comment>
  <w:comment w:id="9" w:author="Editor" w:date="2026-05-06T07:49:00Z" w:initials="N">
    <w:p w14:paraId="043623E9" w14:textId="77777777" w:rsidR="00313462" w:rsidRDefault="00313462" w:rsidP="00313462">
      <w:pPr>
        <w:pStyle w:val="CommentText"/>
      </w:pPr>
      <w:r>
        <w:rPr>
          <w:rStyle w:val="CommentReference"/>
        </w:rPr>
        <w:annotationRef/>
      </w:r>
      <w:r>
        <w:t xml:space="preserve">Bc16 bc13 </w:t>
      </w:r>
    </w:p>
  </w:comment>
  <w:comment w:id="11" w:author="Editor" w:date="2026-05-06T07:54:00Z" w:initials="N">
    <w:p w14:paraId="355F6041" w14:textId="77777777" w:rsidR="003F306B" w:rsidRDefault="003F306B" w:rsidP="003F306B">
      <w:pPr>
        <w:pStyle w:val="CommentText"/>
      </w:pPr>
      <w:r>
        <w:rPr>
          <w:rStyle w:val="CommentReference"/>
        </w:rPr>
        <w:annotationRef/>
      </w:r>
      <w:r>
        <w:t>bc15</w:t>
      </w:r>
    </w:p>
  </w:comment>
  <w:comment w:id="12" w:author="Editor" w:date="2026-05-06T07:37:00Z" w:initials="N">
    <w:p w14:paraId="66CA7539" w14:textId="77777777" w:rsidR="00926ED6" w:rsidRDefault="00926ED6" w:rsidP="00926ED6">
      <w:pPr>
        <w:pStyle w:val="CommentText"/>
      </w:pPr>
      <w:r>
        <w:rPr>
          <w:rStyle w:val="CommentReference"/>
        </w:rPr>
        <w:annotationRef/>
      </w:r>
      <w:r>
        <w:t xml:space="preserve">Like what? Introduce briefly </w:t>
      </w:r>
    </w:p>
  </w:comment>
  <w:comment w:id="13" w:author="Editor" w:date="2026-05-06T07:37:00Z" w:initials="N">
    <w:p w14:paraId="57E76EC3" w14:textId="77777777" w:rsidR="00926ED6" w:rsidRDefault="00926ED6" w:rsidP="00926ED6">
      <w:pPr>
        <w:pStyle w:val="CommentText"/>
      </w:pPr>
      <w:r>
        <w:rPr>
          <w:rStyle w:val="CommentReference"/>
        </w:rPr>
        <w:annotationRef/>
      </w:r>
      <w:r>
        <w:t>Bc33 bc36</w:t>
      </w:r>
    </w:p>
  </w:comment>
  <w:comment w:id="14" w:author="Editor" w:date="2026-05-06T07:37:00Z" w:initials="N">
    <w:p w14:paraId="6D640D4F" w14:textId="77777777" w:rsidR="00926ED6" w:rsidRDefault="00926ED6" w:rsidP="00926ED6">
      <w:pPr>
        <w:pStyle w:val="CommentText"/>
      </w:pPr>
      <w:r>
        <w:rPr>
          <w:rStyle w:val="CommentReference"/>
        </w:rPr>
        <w:annotationRef/>
      </w:r>
      <w:r>
        <w:t>Bc32 bc36</w:t>
      </w:r>
    </w:p>
  </w:comment>
  <w:comment w:id="15" w:author="Editor" w:date="2026-05-06T07:37:00Z" w:initials="N">
    <w:p w14:paraId="2C4FAE83" w14:textId="77777777" w:rsidR="00926ED6" w:rsidRDefault="00926ED6" w:rsidP="00926ED6">
      <w:pPr>
        <w:pStyle w:val="CommentText"/>
      </w:pPr>
      <w:r>
        <w:rPr>
          <w:rStyle w:val="CommentReference"/>
        </w:rPr>
        <w:annotationRef/>
      </w:r>
      <w:r>
        <w:t>bc15</w:t>
      </w:r>
    </w:p>
  </w:comment>
  <w:comment w:id="16" w:author="Editor" w:date="2026-05-06T07:38:00Z" w:initials="N">
    <w:p w14:paraId="24F02765" w14:textId="77777777" w:rsidR="00926ED6" w:rsidRDefault="00926ED6" w:rsidP="00926ED6">
      <w:pPr>
        <w:pStyle w:val="CommentText"/>
      </w:pPr>
      <w:r>
        <w:rPr>
          <w:rStyle w:val="CommentReference"/>
        </w:rPr>
        <w:annotationRef/>
      </w:r>
      <w:r>
        <w:t xml:space="preserve">Bc15 </w:t>
      </w:r>
    </w:p>
  </w:comment>
  <w:comment w:id="17" w:author="Editor" w:date="2026-05-06T07:38:00Z" w:initials="N">
    <w:p w14:paraId="5CAF3B85" w14:textId="77777777" w:rsidR="00926ED6" w:rsidRDefault="00926ED6" w:rsidP="00926ED6">
      <w:pPr>
        <w:pStyle w:val="CommentText"/>
      </w:pPr>
      <w:r>
        <w:rPr>
          <w:rStyle w:val="CommentReference"/>
        </w:rPr>
        <w:annotationRef/>
      </w:r>
      <w:r>
        <w:t>bc16</w:t>
      </w:r>
    </w:p>
  </w:comment>
  <w:comment w:id="18" w:author="Editor" w:date="2026-05-06T07:38:00Z" w:initials="N">
    <w:p w14:paraId="17DDF040" w14:textId="77777777" w:rsidR="00926ED6" w:rsidRDefault="00926ED6" w:rsidP="00926ED6">
      <w:pPr>
        <w:pStyle w:val="CommentText"/>
      </w:pPr>
      <w:r>
        <w:rPr>
          <w:rStyle w:val="CommentReference"/>
        </w:rPr>
        <w:annotationRef/>
      </w:r>
      <w:r>
        <w:t>bc36</w:t>
      </w:r>
    </w:p>
  </w:comment>
  <w:comment w:id="19" w:author="Editor" w:date="2026-05-06T07:39:00Z" w:initials="N">
    <w:p w14:paraId="79676838" w14:textId="77777777" w:rsidR="00926ED6" w:rsidRDefault="00926ED6" w:rsidP="00926ED6">
      <w:pPr>
        <w:pStyle w:val="CommentText"/>
      </w:pPr>
      <w:r>
        <w:rPr>
          <w:rStyle w:val="CommentReference"/>
        </w:rPr>
        <w:annotationRef/>
      </w:r>
      <w:r>
        <w:t>Bc32 bc36</w:t>
      </w:r>
    </w:p>
  </w:comment>
  <w:comment w:id="20" w:author="Editor" w:date="2026-05-06T07:40:00Z" w:initials="N">
    <w:p w14:paraId="71FF56C4" w14:textId="77777777" w:rsidR="00926ED6" w:rsidRDefault="00926ED6" w:rsidP="00926ED6">
      <w:pPr>
        <w:pStyle w:val="CommentText"/>
      </w:pPr>
      <w:r>
        <w:rPr>
          <w:rStyle w:val="CommentReference"/>
        </w:rPr>
        <w:annotationRef/>
      </w:r>
      <w:r>
        <w:t xml:space="preserve">The paragraph is about generalizability and applicability to real world. </w:t>
      </w:r>
    </w:p>
    <w:p w14:paraId="6BB088CC" w14:textId="77777777" w:rsidR="00926ED6" w:rsidRDefault="00926ED6" w:rsidP="00926ED6">
      <w:pPr>
        <w:pStyle w:val="CommentText"/>
      </w:pPr>
    </w:p>
    <w:p w14:paraId="1DA38A39" w14:textId="77777777" w:rsidR="00926ED6" w:rsidRDefault="00926ED6" w:rsidP="00926ED6">
      <w:pPr>
        <w:pStyle w:val="CommentText"/>
      </w:pPr>
      <w:r>
        <w:t>Abrupt shift to the methodological rigor bc20</w:t>
      </w:r>
    </w:p>
  </w:comment>
  <w:comment w:id="22" w:author="Editor" w:date="2026-05-06T07:55:00Z" w:initials="N">
    <w:p w14:paraId="28E81F2A" w14:textId="77777777" w:rsidR="003F306B" w:rsidRDefault="003F306B" w:rsidP="003F306B">
      <w:pPr>
        <w:pStyle w:val="CommentText"/>
      </w:pPr>
      <w:r>
        <w:rPr>
          <w:rStyle w:val="CommentReference"/>
        </w:rPr>
        <w:annotationRef/>
      </w:r>
      <w:r>
        <w:t>bc16</w:t>
      </w:r>
    </w:p>
  </w:comment>
  <w:comment w:id="23" w:author="Editor" w:date="2026-05-06T07:55:00Z" w:initials="N">
    <w:p w14:paraId="4EE1A3A5" w14:textId="77777777" w:rsidR="003F306B" w:rsidRDefault="003F306B" w:rsidP="003F306B">
      <w:pPr>
        <w:pStyle w:val="CommentText"/>
      </w:pPr>
      <w:r>
        <w:rPr>
          <w:rStyle w:val="CommentReference"/>
        </w:rPr>
        <w:annotationRef/>
      </w:r>
      <w:r>
        <w:t xml:space="preserve">Bc16 bc18 </w:t>
      </w:r>
    </w:p>
  </w:comment>
  <w:comment w:id="21" w:author="Editor" w:date="2026-05-06T07:42:00Z" w:initials="N">
    <w:p w14:paraId="7908BA1B" w14:textId="77777777" w:rsidR="00CD3024" w:rsidRDefault="00926ED6" w:rsidP="00CD3024">
      <w:pPr>
        <w:pStyle w:val="CommentText"/>
      </w:pPr>
      <w:r>
        <w:rPr>
          <w:rStyle w:val="CommentReference"/>
        </w:rPr>
        <w:annotationRef/>
      </w:r>
      <w:r w:rsidR="00CD3024">
        <w:t xml:space="preserve">The heading implies you are evaluating the article. </w:t>
      </w:r>
    </w:p>
    <w:p w14:paraId="7D5A46D0" w14:textId="77777777" w:rsidR="00CD3024" w:rsidRDefault="00CD3024" w:rsidP="00CD3024">
      <w:pPr>
        <w:pStyle w:val="CommentText"/>
      </w:pPr>
      <w:r>
        <w:t xml:space="preserve">Thus, The evaluation must highlight the limitations that you identified. Not the ones that are already addressed by the writer </w:t>
      </w:r>
    </w:p>
  </w:comment>
  <w:comment w:id="24" w:author="Editor" w:date="2026-05-06T07:42:00Z" w:initials="N">
    <w:p w14:paraId="5A985796" w14:textId="371E8BAB" w:rsidR="00926ED6" w:rsidRDefault="00926ED6" w:rsidP="00926ED6">
      <w:pPr>
        <w:pStyle w:val="CommentText"/>
      </w:pPr>
      <w:r>
        <w:rPr>
          <w:rStyle w:val="CommentReference"/>
        </w:rPr>
        <w:annotationRef/>
      </w:r>
      <w:r>
        <w:t>%</w:t>
      </w:r>
    </w:p>
  </w:comment>
  <w:comment w:id="25" w:author="Editor" w:date="2026-05-06T07:43:00Z" w:initials="N">
    <w:p w14:paraId="0813D9C5" w14:textId="77777777" w:rsidR="00926ED6" w:rsidRDefault="00926ED6" w:rsidP="00926ED6">
      <w:pPr>
        <w:pStyle w:val="CommentText"/>
      </w:pPr>
      <w:r>
        <w:rPr>
          <w:rStyle w:val="CommentReference"/>
        </w:rPr>
        <w:annotationRef/>
      </w:r>
      <w:r>
        <w:t>bc16</w:t>
      </w:r>
    </w:p>
  </w:comment>
  <w:comment w:id="26" w:author="Editor" w:date="2026-05-06T07:47:00Z" w:initials="N">
    <w:p w14:paraId="042220D6" w14:textId="77777777" w:rsidR="00313462" w:rsidRDefault="00313462" w:rsidP="00313462">
      <w:pPr>
        <w:pStyle w:val="CommentText"/>
      </w:pPr>
      <w:r>
        <w:rPr>
          <w:rStyle w:val="CommentReference"/>
        </w:rPr>
        <w:annotationRef/>
      </w:r>
      <w:r>
        <w:t xml:space="preserve">Apparently, this should be outside research, not the same article </w:t>
      </w:r>
    </w:p>
    <w:p w14:paraId="5BB7D8ED" w14:textId="77777777" w:rsidR="00313462" w:rsidRDefault="00313462" w:rsidP="00313462">
      <w:pPr>
        <w:pStyle w:val="CommentText"/>
      </w:pPr>
      <w:r>
        <w:t xml:space="preserve">Bc8 </w:t>
      </w:r>
    </w:p>
  </w:comment>
  <w:comment w:id="27" w:author="Editor" w:date="2026-05-06T07:50:00Z" w:initials="N">
    <w:p w14:paraId="05F9D47F" w14:textId="77777777" w:rsidR="00313462" w:rsidRDefault="00313462" w:rsidP="00313462">
      <w:pPr>
        <w:pStyle w:val="CommentText"/>
      </w:pPr>
      <w:r>
        <w:rPr>
          <w:rStyle w:val="CommentReference"/>
        </w:rPr>
        <w:annotationRef/>
      </w:r>
      <w:r>
        <w:t>Bc16 bc18 bc32</w:t>
      </w:r>
    </w:p>
  </w:comment>
  <w:comment w:id="28" w:author="Editor" w:date="2026-05-06T07:50:00Z" w:initials="N">
    <w:p w14:paraId="2C5AAE64" w14:textId="77777777" w:rsidR="00313462" w:rsidRDefault="00313462" w:rsidP="00313462">
      <w:pPr>
        <w:pStyle w:val="CommentText"/>
      </w:pPr>
      <w:r>
        <w:rPr>
          <w:rStyle w:val="CommentReference"/>
        </w:rPr>
        <w:annotationRef/>
      </w:r>
      <w:r>
        <w:t>bc16</w:t>
      </w:r>
    </w:p>
  </w:comment>
  <w:comment w:id="29" w:author="Editor" w:date="2026-05-06T07:51:00Z" w:initials="N">
    <w:p w14:paraId="43EE4F4D" w14:textId="77777777" w:rsidR="00313462" w:rsidRDefault="00313462" w:rsidP="00313462">
      <w:pPr>
        <w:pStyle w:val="CommentText"/>
      </w:pPr>
      <w:r>
        <w:rPr>
          <w:rStyle w:val="CommentReference"/>
        </w:rPr>
        <w:annotationRef/>
      </w:r>
      <w:r>
        <w:t>Bc15cost?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1FCAF3" w15:done="0"/>
  <w15:commentEx w15:paraId="30533060" w15:done="0"/>
  <w15:commentEx w15:paraId="67C6F8F1" w15:done="0"/>
  <w15:commentEx w15:paraId="274B80B2" w15:done="0"/>
  <w15:commentEx w15:paraId="4D7948BF" w15:done="0"/>
  <w15:commentEx w15:paraId="1D31F830" w15:done="0"/>
  <w15:commentEx w15:paraId="27275C1C" w15:done="0"/>
  <w15:commentEx w15:paraId="28E83DB0" w15:done="0"/>
  <w15:commentEx w15:paraId="2A9E1D56" w15:done="0"/>
  <w15:commentEx w15:paraId="79C362C1" w15:done="0"/>
  <w15:commentEx w15:paraId="043623E9" w15:done="0"/>
  <w15:commentEx w15:paraId="355F6041" w15:done="0"/>
  <w15:commentEx w15:paraId="66CA7539" w15:done="0"/>
  <w15:commentEx w15:paraId="57E76EC3" w15:done="0"/>
  <w15:commentEx w15:paraId="6D640D4F" w15:done="0"/>
  <w15:commentEx w15:paraId="2C4FAE83" w15:done="0"/>
  <w15:commentEx w15:paraId="24F02765" w15:done="0"/>
  <w15:commentEx w15:paraId="5CAF3B85" w15:done="0"/>
  <w15:commentEx w15:paraId="17DDF040" w15:done="0"/>
  <w15:commentEx w15:paraId="79676838" w15:done="0"/>
  <w15:commentEx w15:paraId="1DA38A39" w15:done="0"/>
  <w15:commentEx w15:paraId="28E81F2A" w15:done="0"/>
  <w15:commentEx w15:paraId="4EE1A3A5" w15:done="0"/>
  <w15:commentEx w15:paraId="7D5A46D0" w15:done="0"/>
  <w15:commentEx w15:paraId="5A985796" w15:done="0"/>
  <w15:commentEx w15:paraId="0813D9C5" w15:done="0"/>
  <w15:commentEx w15:paraId="5BB7D8ED" w15:done="0"/>
  <w15:commentEx w15:paraId="05F9D47F" w15:done="0"/>
  <w15:commentEx w15:paraId="2C5AAE64" w15:done="0"/>
  <w15:commentEx w15:paraId="43EE4F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726FED" w16cex:dateUtc="2026-05-06T02:52:00Z"/>
  <w16cex:commentExtensible w16cex:durableId="736C97F5" w16cex:dateUtc="2026-05-06T02:52:00Z"/>
  <w16cex:commentExtensible w16cex:durableId="11ABD0A7" w16cex:dateUtc="2026-05-06T02:53:00Z"/>
  <w16cex:commentExtensible w16cex:durableId="66679781" w16cex:dateUtc="2026-05-06T02:47:00Z"/>
  <w16cex:commentExtensible w16cex:durableId="103E445A" w16cex:dateUtc="2026-05-06T02:48:00Z"/>
  <w16cex:commentExtensible w16cex:durableId="6802A7F1" w16cex:dateUtc="2026-05-06T02:26:00Z"/>
  <w16cex:commentExtensible w16cex:durableId="26C7D147" w16cex:dateUtc="2026-05-06T02:48:00Z"/>
  <w16cex:commentExtensible w16cex:durableId="73D772F9" w16cex:dateUtc="2026-05-06T02:35:00Z"/>
  <w16cex:commentExtensible w16cex:durableId="29D3A500" w16cex:dateUtc="2026-05-06T02:36:00Z"/>
  <w16cex:commentExtensible w16cex:durableId="65252643" w16cex:dateUtc="2026-05-06T02:54:00Z"/>
  <w16cex:commentExtensible w16cex:durableId="0CA3046A" w16cex:dateUtc="2026-05-06T02:49:00Z"/>
  <w16cex:commentExtensible w16cex:durableId="1E795B45" w16cex:dateUtc="2026-05-06T02:54:00Z"/>
  <w16cex:commentExtensible w16cex:durableId="61B885A2" w16cex:dateUtc="2026-05-06T02:37:00Z"/>
  <w16cex:commentExtensible w16cex:durableId="6E039E67" w16cex:dateUtc="2026-05-06T02:37:00Z"/>
  <w16cex:commentExtensible w16cex:durableId="3C78D130" w16cex:dateUtc="2026-05-06T02:37:00Z"/>
  <w16cex:commentExtensible w16cex:durableId="5F3C3EC7" w16cex:dateUtc="2026-05-06T02:37:00Z"/>
  <w16cex:commentExtensible w16cex:durableId="77FD96F3" w16cex:dateUtc="2026-05-06T02:38:00Z"/>
  <w16cex:commentExtensible w16cex:durableId="314904D5" w16cex:dateUtc="2026-05-06T02:38:00Z"/>
  <w16cex:commentExtensible w16cex:durableId="022B7105" w16cex:dateUtc="2026-05-06T02:38:00Z"/>
  <w16cex:commentExtensible w16cex:durableId="3D5B7CCE" w16cex:dateUtc="2026-05-06T02:39:00Z"/>
  <w16cex:commentExtensible w16cex:durableId="73508EED" w16cex:dateUtc="2026-05-06T02:40:00Z"/>
  <w16cex:commentExtensible w16cex:durableId="22765A6F" w16cex:dateUtc="2026-05-06T02:55:00Z"/>
  <w16cex:commentExtensible w16cex:durableId="230C4A08" w16cex:dateUtc="2026-05-06T02:55:00Z"/>
  <w16cex:commentExtensible w16cex:durableId="6FC6DF39" w16cex:dateUtc="2026-05-06T02:42:00Z"/>
  <w16cex:commentExtensible w16cex:durableId="6928A7E7" w16cex:dateUtc="2026-05-06T02:42:00Z"/>
  <w16cex:commentExtensible w16cex:durableId="6A249C7C" w16cex:dateUtc="2026-05-06T02:43:00Z"/>
  <w16cex:commentExtensible w16cex:durableId="06A24235" w16cex:dateUtc="2026-05-06T02:47:00Z"/>
  <w16cex:commentExtensible w16cex:durableId="36B5C9B5" w16cex:dateUtc="2026-05-06T02:50:00Z"/>
  <w16cex:commentExtensible w16cex:durableId="4A0B53D2" w16cex:dateUtc="2026-05-06T02:50:00Z"/>
  <w16cex:commentExtensible w16cex:durableId="4393B21D" w16cex:dateUtc="2026-05-06T0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1FCAF3" w16cid:durableId="19726FED"/>
  <w16cid:commentId w16cid:paraId="30533060" w16cid:durableId="736C97F5"/>
  <w16cid:commentId w16cid:paraId="67C6F8F1" w16cid:durableId="11ABD0A7"/>
  <w16cid:commentId w16cid:paraId="274B80B2" w16cid:durableId="66679781"/>
  <w16cid:commentId w16cid:paraId="4D7948BF" w16cid:durableId="103E445A"/>
  <w16cid:commentId w16cid:paraId="1D31F830" w16cid:durableId="6802A7F1"/>
  <w16cid:commentId w16cid:paraId="27275C1C" w16cid:durableId="26C7D147"/>
  <w16cid:commentId w16cid:paraId="28E83DB0" w16cid:durableId="73D772F9"/>
  <w16cid:commentId w16cid:paraId="2A9E1D56" w16cid:durableId="29D3A500"/>
  <w16cid:commentId w16cid:paraId="79C362C1" w16cid:durableId="65252643"/>
  <w16cid:commentId w16cid:paraId="043623E9" w16cid:durableId="0CA3046A"/>
  <w16cid:commentId w16cid:paraId="355F6041" w16cid:durableId="1E795B45"/>
  <w16cid:commentId w16cid:paraId="66CA7539" w16cid:durableId="61B885A2"/>
  <w16cid:commentId w16cid:paraId="57E76EC3" w16cid:durableId="6E039E67"/>
  <w16cid:commentId w16cid:paraId="6D640D4F" w16cid:durableId="3C78D130"/>
  <w16cid:commentId w16cid:paraId="2C4FAE83" w16cid:durableId="5F3C3EC7"/>
  <w16cid:commentId w16cid:paraId="24F02765" w16cid:durableId="77FD96F3"/>
  <w16cid:commentId w16cid:paraId="5CAF3B85" w16cid:durableId="314904D5"/>
  <w16cid:commentId w16cid:paraId="17DDF040" w16cid:durableId="022B7105"/>
  <w16cid:commentId w16cid:paraId="79676838" w16cid:durableId="3D5B7CCE"/>
  <w16cid:commentId w16cid:paraId="1DA38A39" w16cid:durableId="73508EED"/>
  <w16cid:commentId w16cid:paraId="28E81F2A" w16cid:durableId="22765A6F"/>
  <w16cid:commentId w16cid:paraId="4EE1A3A5" w16cid:durableId="230C4A08"/>
  <w16cid:commentId w16cid:paraId="7D5A46D0" w16cid:durableId="6FC6DF39"/>
  <w16cid:commentId w16cid:paraId="5A985796" w16cid:durableId="6928A7E7"/>
  <w16cid:commentId w16cid:paraId="0813D9C5" w16cid:durableId="6A249C7C"/>
  <w16cid:commentId w16cid:paraId="5BB7D8ED" w16cid:durableId="06A24235"/>
  <w16cid:commentId w16cid:paraId="05F9D47F" w16cid:durableId="36B5C9B5"/>
  <w16cid:commentId w16cid:paraId="2C5AAE64" w16cid:durableId="4A0B53D2"/>
  <w16cid:commentId w16cid:paraId="43EE4F4D" w16cid:durableId="4393B2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5FC76" w14:textId="77777777" w:rsidR="007151EE" w:rsidRDefault="007151EE">
      <w:r>
        <w:separator/>
      </w:r>
    </w:p>
  </w:endnote>
  <w:endnote w:type="continuationSeparator" w:id="0">
    <w:p w14:paraId="4F46CEE3" w14:textId="77777777" w:rsidR="007151EE" w:rsidRDefault="0071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37B7E" w14:textId="77777777" w:rsidR="007151EE" w:rsidRDefault="007151EE">
      <w:r>
        <w:separator/>
      </w:r>
    </w:p>
  </w:footnote>
  <w:footnote w:type="continuationSeparator" w:id="0">
    <w:p w14:paraId="3A61581F" w14:textId="77777777" w:rsidR="007151EE" w:rsidRDefault="00715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CD65" w14:textId="77777777" w:rsidR="000E6398" w:rsidRDefault="00000000">
    <w:pPr>
      <w:tabs>
        <w:tab w:val="right" w:pos="9360"/>
      </w:tabs>
    </w:pPr>
    <w:r>
      <w:t>Running head: SOCIAL IDENTITY AND MUTUAL HELP GROUPS</w:t>
    </w:r>
    <w:r>
      <w:tab/>
    </w:r>
    <w:r>
      <w:fldChar w:fldCharType="begin"/>
    </w:r>
    <w:r>
      <w:instrText>PAGE</w:instrText>
    </w:r>
    <w:r>
      <w:fldChar w:fldCharType="separate"/>
    </w:r>
    <w:r w:rsidR="008728A3">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5464"/>
    <w:multiLevelType w:val="hybridMultilevel"/>
    <w:tmpl w:val="93D86446"/>
    <w:lvl w:ilvl="0" w:tplc="261680E6">
      <w:start w:val="1"/>
      <w:numFmt w:val="bullet"/>
      <w:lvlText w:val="●"/>
      <w:lvlJc w:val="left"/>
      <w:pPr>
        <w:ind w:left="720" w:hanging="360"/>
      </w:pPr>
    </w:lvl>
    <w:lvl w:ilvl="1" w:tplc="8F4029CE">
      <w:start w:val="1"/>
      <w:numFmt w:val="bullet"/>
      <w:lvlText w:val="○"/>
      <w:lvlJc w:val="left"/>
      <w:pPr>
        <w:ind w:left="1440" w:hanging="360"/>
      </w:pPr>
    </w:lvl>
    <w:lvl w:ilvl="2" w:tplc="4548327C">
      <w:start w:val="1"/>
      <w:numFmt w:val="bullet"/>
      <w:lvlText w:val="■"/>
      <w:lvlJc w:val="left"/>
      <w:pPr>
        <w:ind w:left="2160" w:hanging="360"/>
      </w:pPr>
    </w:lvl>
    <w:lvl w:ilvl="3" w:tplc="413636F2">
      <w:start w:val="1"/>
      <w:numFmt w:val="bullet"/>
      <w:lvlText w:val="●"/>
      <w:lvlJc w:val="left"/>
      <w:pPr>
        <w:ind w:left="2880" w:hanging="360"/>
      </w:pPr>
    </w:lvl>
    <w:lvl w:ilvl="4" w:tplc="6366B9B8">
      <w:start w:val="1"/>
      <w:numFmt w:val="bullet"/>
      <w:lvlText w:val="○"/>
      <w:lvlJc w:val="left"/>
      <w:pPr>
        <w:ind w:left="3600" w:hanging="360"/>
      </w:pPr>
    </w:lvl>
    <w:lvl w:ilvl="5" w:tplc="5180FDC2">
      <w:start w:val="1"/>
      <w:numFmt w:val="bullet"/>
      <w:lvlText w:val="■"/>
      <w:lvlJc w:val="left"/>
      <w:pPr>
        <w:ind w:left="4320" w:hanging="360"/>
      </w:pPr>
    </w:lvl>
    <w:lvl w:ilvl="6" w:tplc="C90E97AC">
      <w:start w:val="1"/>
      <w:numFmt w:val="bullet"/>
      <w:lvlText w:val="●"/>
      <w:lvlJc w:val="left"/>
      <w:pPr>
        <w:ind w:left="5040" w:hanging="360"/>
      </w:pPr>
    </w:lvl>
    <w:lvl w:ilvl="7" w:tplc="42C4B9D2">
      <w:start w:val="1"/>
      <w:numFmt w:val="bullet"/>
      <w:lvlText w:val="●"/>
      <w:lvlJc w:val="left"/>
      <w:pPr>
        <w:ind w:left="5760" w:hanging="360"/>
      </w:pPr>
    </w:lvl>
    <w:lvl w:ilvl="8" w:tplc="24BA5210">
      <w:start w:val="1"/>
      <w:numFmt w:val="bullet"/>
      <w:lvlText w:val="●"/>
      <w:lvlJc w:val="left"/>
      <w:pPr>
        <w:ind w:left="6480" w:hanging="360"/>
      </w:pPr>
    </w:lvl>
  </w:abstractNum>
  <w:num w:numId="1" w16cid:durableId="426929365">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98"/>
    <w:rsid w:val="000E1EBD"/>
    <w:rsid w:val="000E6398"/>
    <w:rsid w:val="00295FBD"/>
    <w:rsid w:val="00313462"/>
    <w:rsid w:val="003A6764"/>
    <w:rsid w:val="003F306B"/>
    <w:rsid w:val="0048245B"/>
    <w:rsid w:val="0052384A"/>
    <w:rsid w:val="007151EE"/>
    <w:rsid w:val="00724A3B"/>
    <w:rsid w:val="008728A3"/>
    <w:rsid w:val="0087495D"/>
    <w:rsid w:val="00926ED6"/>
    <w:rsid w:val="00A3365E"/>
    <w:rsid w:val="00AF14D6"/>
    <w:rsid w:val="00BC5730"/>
    <w:rsid w:val="00CD3024"/>
    <w:rsid w:val="00F918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C0C4"/>
  <w15:docId w15:val="{E2D69F2E-E383-4588-B60D-D8C0F9BA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52384A"/>
    <w:rPr>
      <w:sz w:val="16"/>
      <w:szCs w:val="16"/>
    </w:rPr>
  </w:style>
  <w:style w:type="paragraph" w:styleId="CommentText">
    <w:name w:val="annotation text"/>
    <w:basedOn w:val="Normal"/>
    <w:link w:val="CommentTextChar"/>
    <w:uiPriority w:val="99"/>
    <w:unhideWhenUsed/>
    <w:rsid w:val="0052384A"/>
    <w:rPr>
      <w:sz w:val="20"/>
      <w:szCs w:val="20"/>
    </w:rPr>
  </w:style>
  <w:style w:type="character" w:customStyle="1" w:styleId="CommentTextChar">
    <w:name w:val="Comment Text Char"/>
    <w:basedOn w:val="DefaultParagraphFont"/>
    <w:link w:val="CommentText"/>
    <w:uiPriority w:val="99"/>
    <w:rsid w:val="0052384A"/>
    <w:rPr>
      <w:sz w:val="20"/>
      <w:szCs w:val="20"/>
    </w:rPr>
  </w:style>
  <w:style w:type="paragraph" w:styleId="CommentSubject">
    <w:name w:val="annotation subject"/>
    <w:basedOn w:val="CommentText"/>
    <w:next w:val="CommentText"/>
    <w:link w:val="CommentSubjectChar"/>
    <w:uiPriority w:val="99"/>
    <w:semiHidden/>
    <w:unhideWhenUsed/>
    <w:rsid w:val="0052384A"/>
    <w:rPr>
      <w:b/>
      <w:bCs/>
    </w:rPr>
  </w:style>
  <w:style w:type="character" w:customStyle="1" w:styleId="CommentSubjectChar">
    <w:name w:val="Comment Subject Char"/>
    <w:basedOn w:val="CommentTextChar"/>
    <w:link w:val="CommentSubject"/>
    <w:uiPriority w:val="99"/>
    <w:semiHidden/>
    <w:rsid w:val="005238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cp:lastModifiedBy>
  <cp:revision>3</cp:revision>
  <dcterms:created xsi:type="dcterms:W3CDTF">2026-05-06T02:52:00Z</dcterms:created>
  <dcterms:modified xsi:type="dcterms:W3CDTF">2026-05-06T03:00:00Z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8bf09595-455d-4754-8755-14385a0f58d3</vt:lpwstr>
  </property>
</Properties>
</file>