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FDFB" w14:textId="77777777" w:rsidR="00981176" w:rsidRPr="008D1972" w:rsidRDefault="00981176" w:rsidP="00D21C7B">
      <w:pPr>
        <w:spacing w:after="0" w:line="480" w:lineRule="auto"/>
        <w:rPr>
          <w:rFonts w:ascii="Times New Roman" w:hAnsi="Times New Roman" w:cs="Times New Roman"/>
          <w:sz w:val="24"/>
          <w:szCs w:val="24"/>
        </w:rPr>
      </w:pPr>
    </w:p>
    <w:p w14:paraId="6B7B2D25" w14:textId="77777777" w:rsidR="00981176" w:rsidRPr="008D1972" w:rsidRDefault="00981176" w:rsidP="00D21C7B">
      <w:pPr>
        <w:spacing w:after="0" w:line="480" w:lineRule="auto"/>
        <w:rPr>
          <w:rFonts w:ascii="Times New Roman" w:hAnsi="Times New Roman" w:cs="Times New Roman"/>
          <w:sz w:val="24"/>
          <w:szCs w:val="24"/>
        </w:rPr>
      </w:pPr>
    </w:p>
    <w:p w14:paraId="6F7FCFA9" w14:textId="77777777" w:rsidR="00981176" w:rsidRPr="008D1972" w:rsidRDefault="00981176" w:rsidP="00D21C7B">
      <w:pPr>
        <w:spacing w:after="0" w:line="480" w:lineRule="auto"/>
        <w:rPr>
          <w:rFonts w:ascii="Times New Roman" w:hAnsi="Times New Roman" w:cs="Times New Roman"/>
          <w:sz w:val="24"/>
          <w:szCs w:val="24"/>
        </w:rPr>
      </w:pPr>
    </w:p>
    <w:p w14:paraId="154E83E7" w14:textId="77777777" w:rsidR="00981176" w:rsidRPr="008D1972" w:rsidRDefault="00981176" w:rsidP="00D21C7B">
      <w:pPr>
        <w:spacing w:after="0" w:line="480" w:lineRule="auto"/>
        <w:jc w:val="center"/>
        <w:rPr>
          <w:rFonts w:ascii="Times New Roman" w:hAnsi="Times New Roman" w:cs="Times New Roman"/>
          <w:sz w:val="24"/>
          <w:szCs w:val="24"/>
        </w:rPr>
      </w:pPr>
    </w:p>
    <w:p w14:paraId="0026F1FD" w14:textId="77777777" w:rsidR="00981176" w:rsidRPr="008D1972" w:rsidRDefault="00981176" w:rsidP="00D21C7B">
      <w:pPr>
        <w:spacing w:after="0" w:line="480" w:lineRule="auto"/>
        <w:jc w:val="center"/>
        <w:rPr>
          <w:rFonts w:ascii="Times New Roman" w:hAnsi="Times New Roman" w:cs="Times New Roman"/>
          <w:sz w:val="24"/>
          <w:szCs w:val="24"/>
        </w:rPr>
      </w:pPr>
    </w:p>
    <w:p w14:paraId="711E2BCF" w14:textId="77777777" w:rsidR="00981176" w:rsidRPr="008D1972" w:rsidRDefault="00981176" w:rsidP="00D21C7B">
      <w:pPr>
        <w:spacing w:after="0" w:line="480" w:lineRule="auto"/>
        <w:jc w:val="center"/>
        <w:rPr>
          <w:rFonts w:ascii="Times New Roman" w:hAnsi="Times New Roman" w:cs="Times New Roman"/>
          <w:sz w:val="24"/>
          <w:szCs w:val="24"/>
        </w:rPr>
      </w:pPr>
    </w:p>
    <w:p w14:paraId="2D83872F" w14:textId="77777777" w:rsidR="00981176" w:rsidRPr="008D1972" w:rsidRDefault="00981176" w:rsidP="00D21C7B">
      <w:pPr>
        <w:spacing w:after="0" w:line="480" w:lineRule="auto"/>
        <w:jc w:val="center"/>
        <w:rPr>
          <w:rFonts w:ascii="Times New Roman" w:hAnsi="Times New Roman" w:cs="Times New Roman"/>
          <w:sz w:val="24"/>
          <w:szCs w:val="24"/>
        </w:rPr>
      </w:pPr>
    </w:p>
    <w:p w14:paraId="29E5D5FD" w14:textId="77777777" w:rsidR="00981176" w:rsidRPr="008D1972" w:rsidRDefault="00981176" w:rsidP="00D21C7B">
      <w:pPr>
        <w:spacing w:after="0" w:line="480" w:lineRule="auto"/>
        <w:jc w:val="center"/>
        <w:rPr>
          <w:rFonts w:ascii="Times New Roman" w:hAnsi="Times New Roman" w:cs="Times New Roman"/>
          <w:sz w:val="24"/>
          <w:szCs w:val="24"/>
        </w:rPr>
      </w:pPr>
    </w:p>
    <w:p w14:paraId="714F226C" w14:textId="5C4377A6" w:rsidR="00981176" w:rsidRPr="008D1972" w:rsidRDefault="00594683" w:rsidP="00D21C7B">
      <w:pPr>
        <w:pStyle w:val="Heading1"/>
        <w:rPr>
          <w:rFonts w:cs="Times New Roman"/>
          <w:szCs w:val="24"/>
          <w:shd w:val="clear" w:color="auto" w:fill="FFFFFF"/>
        </w:rPr>
      </w:pPr>
      <w:r w:rsidRPr="008D1972">
        <w:rPr>
          <w:rFonts w:cs="Times New Roman"/>
          <w:szCs w:val="24"/>
        </w:rPr>
        <w:t>Module 8 Portfolio Project</w:t>
      </w:r>
    </w:p>
    <w:p w14:paraId="03E88F6F" w14:textId="77777777" w:rsidR="00981176" w:rsidRPr="008D1972" w:rsidRDefault="00981176" w:rsidP="00D21C7B">
      <w:pPr>
        <w:spacing w:after="0" w:line="480" w:lineRule="auto"/>
        <w:jc w:val="center"/>
        <w:rPr>
          <w:rFonts w:ascii="Times New Roman" w:hAnsi="Times New Roman" w:cs="Times New Roman"/>
          <w:b/>
          <w:bCs/>
          <w:sz w:val="24"/>
          <w:szCs w:val="24"/>
        </w:rPr>
      </w:pPr>
    </w:p>
    <w:p w14:paraId="0BD35517" w14:textId="77777777" w:rsidR="00981176" w:rsidRPr="008D1972" w:rsidRDefault="00981176" w:rsidP="00D21C7B">
      <w:pPr>
        <w:spacing w:after="0" w:line="480" w:lineRule="auto"/>
        <w:jc w:val="center"/>
        <w:rPr>
          <w:rFonts w:ascii="Times New Roman" w:hAnsi="Times New Roman" w:cs="Times New Roman"/>
          <w:sz w:val="24"/>
          <w:szCs w:val="24"/>
        </w:rPr>
      </w:pPr>
      <w:r w:rsidRPr="008D1972">
        <w:rPr>
          <w:rFonts w:ascii="Times New Roman" w:hAnsi="Times New Roman" w:cs="Times New Roman"/>
          <w:sz w:val="24"/>
          <w:szCs w:val="24"/>
        </w:rPr>
        <w:t>Student Name</w:t>
      </w:r>
    </w:p>
    <w:p w14:paraId="45741CEF" w14:textId="77777777" w:rsidR="00981176" w:rsidRPr="008D1972" w:rsidRDefault="00981176" w:rsidP="00D21C7B">
      <w:pPr>
        <w:spacing w:after="0" w:line="480" w:lineRule="auto"/>
        <w:jc w:val="center"/>
        <w:rPr>
          <w:rFonts w:ascii="Times New Roman" w:hAnsi="Times New Roman" w:cs="Times New Roman"/>
          <w:sz w:val="24"/>
          <w:szCs w:val="24"/>
        </w:rPr>
      </w:pPr>
      <w:r w:rsidRPr="008D1972">
        <w:rPr>
          <w:rFonts w:ascii="Times New Roman" w:hAnsi="Times New Roman" w:cs="Times New Roman"/>
          <w:sz w:val="24"/>
          <w:szCs w:val="24"/>
        </w:rPr>
        <w:t>Institute Name</w:t>
      </w:r>
    </w:p>
    <w:p w14:paraId="1286E4E7" w14:textId="77777777" w:rsidR="00981176" w:rsidRPr="008D1972" w:rsidRDefault="00981176" w:rsidP="00D21C7B">
      <w:pPr>
        <w:spacing w:after="0" w:line="480" w:lineRule="auto"/>
        <w:jc w:val="center"/>
        <w:rPr>
          <w:rFonts w:ascii="Times New Roman" w:hAnsi="Times New Roman" w:cs="Times New Roman"/>
          <w:sz w:val="24"/>
          <w:szCs w:val="24"/>
        </w:rPr>
      </w:pPr>
      <w:r w:rsidRPr="008D1972">
        <w:rPr>
          <w:rFonts w:ascii="Times New Roman" w:hAnsi="Times New Roman" w:cs="Times New Roman"/>
          <w:sz w:val="24"/>
          <w:szCs w:val="24"/>
        </w:rPr>
        <w:t>Course Name</w:t>
      </w:r>
    </w:p>
    <w:p w14:paraId="5C0830DB" w14:textId="77777777" w:rsidR="00981176" w:rsidRPr="008D1972" w:rsidRDefault="00981176" w:rsidP="00D21C7B">
      <w:pPr>
        <w:spacing w:after="0" w:line="480" w:lineRule="auto"/>
        <w:jc w:val="center"/>
        <w:rPr>
          <w:rFonts w:ascii="Times New Roman" w:hAnsi="Times New Roman" w:cs="Times New Roman"/>
          <w:sz w:val="24"/>
          <w:szCs w:val="24"/>
        </w:rPr>
      </w:pPr>
      <w:r w:rsidRPr="008D1972">
        <w:rPr>
          <w:rFonts w:ascii="Times New Roman" w:hAnsi="Times New Roman" w:cs="Times New Roman"/>
          <w:sz w:val="24"/>
          <w:szCs w:val="24"/>
        </w:rPr>
        <w:t>Instructor Name</w:t>
      </w:r>
    </w:p>
    <w:p w14:paraId="41473194" w14:textId="77777777" w:rsidR="00981176" w:rsidRPr="008D1972" w:rsidRDefault="00981176" w:rsidP="00D21C7B">
      <w:pPr>
        <w:spacing w:after="0" w:line="480" w:lineRule="auto"/>
        <w:jc w:val="center"/>
        <w:rPr>
          <w:rFonts w:ascii="Times New Roman" w:hAnsi="Times New Roman" w:cs="Times New Roman"/>
          <w:sz w:val="24"/>
          <w:szCs w:val="24"/>
        </w:rPr>
      </w:pPr>
      <w:r w:rsidRPr="008D1972">
        <w:rPr>
          <w:rFonts w:ascii="Times New Roman" w:hAnsi="Times New Roman" w:cs="Times New Roman"/>
          <w:sz w:val="24"/>
          <w:szCs w:val="24"/>
        </w:rPr>
        <w:t>Date</w:t>
      </w:r>
    </w:p>
    <w:p w14:paraId="5DEB1A96" w14:textId="77777777" w:rsidR="00981176" w:rsidRPr="008D1972" w:rsidRDefault="00981176" w:rsidP="00D21C7B">
      <w:pPr>
        <w:spacing w:after="0" w:line="480" w:lineRule="auto"/>
        <w:rPr>
          <w:rFonts w:ascii="Times New Roman" w:eastAsiaTheme="majorEastAsia" w:hAnsi="Times New Roman" w:cs="Times New Roman"/>
          <w:b/>
          <w:sz w:val="24"/>
          <w:szCs w:val="24"/>
        </w:rPr>
      </w:pPr>
      <w:r w:rsidRPr="008D1972">
        <w:rPr>
          <w:rFonts w:ascii="Times New Roman" w:hAnsi="Times New Roman" w:cs="Times New Roman"/>
          <w:sz w:val="24"/>
          <w:szCs w:val="24"/>
        </w:rPr>
        <w:br w:type="page"/>
      </w:r>
    </w:p>
    <w:p w14:paraId="72CC7081" w14:textId="07006776" w:rsidR="00981176" w:rsidRPr="008D1972" w:rsidRDefault="00594683" w:rsidP="00D21C7B">
      <w:pPr>
        <w:pStyle w:val="Heading1"/>
        <w:rPr>
          <w:rFonts w:cs="Times New Roman"/>
          <w:szCs w:val="24"/>
        </w:rPr>
      </w:pPr>
      <w:r w:rsidRPr="008D1972">
        <w:rPr>
          <w:rFonts w:cs="Times New Roman"/>
          <w:szCs w:val="24"/>
        </w:rPr>
        <w:lastRenderedPageBreak/>
        <w:t>Module 8 Portfolio Project</w:t>
      </w:r>
    </w:p>
    <w:p w14:paraId="6F5B4560" w14:textId="65C449C5" w:rsidR="004A335F" w:rsidRPr="008D1972" w:rsidRDefault="004A335F" w:rsidP="00D21C7B">
      <w:pPr>
        <w:spacing w:after="0" w:line="480" w:lineRule="auto"/>
        <w:ind w:firstLine="720"/>
        <w:rPr>
          <w:rFonts w:ascii="Times New Roman" w:hAnsi="Times New Roman" w:cs="Times New Roman"/>
          <w:sz w:val="24"/>
          <w:szCs w:val="24"/>
        </w:rPr>
      </w:pPr>
      <w:r w:rsidRPr="008D1972">
        <w:rPr>
          <w:rFonts w:ascii="Times New Roman" w:hAnsi="Times New Roman" w:cs="Times New Roman"/>
          <w:sz w:val="24"/>
          <w:szCs w:val="24"/>
        </w:rPr>
        <w:t>Traditional risk management in construction is premised on the notion that uncertainty can be foreseen, quantified</w:t>
      </w:r>
      <w:commentRangeStart w:id="0"/>
      <w:r w:rsidRPr="008D1972">
        <w:rPr>
          <w:rFonts w:ascii="Times New Roman" w:hAnsi="Times New Roman" w:cs="Times New Roman"/>
          <w:sz w:val="24"/>
          <w:szCs w:val="24"/>
        </w:rPr>
        <w:t xml:space="preserve"> </w:t>
      </w:r>
      <w:commentRangeEnd w:id="0"/>
      <w:r w:rsidR="00D27F08" w:rsidRPr="008D1972">
        <w:rPr>
          <w:rStyle w:val="CommentReference"/>
          <w:rFonts w:ascii="Times New Roman" w:hAnsi="Times New Roman" w:cs="Times New Roman"/>
          <w:sz w:val="24"/>
          <w:szCs w:val="24"/>
        </w:rPr>
        <w:commentReference w:id="0"/>
      </w:r>
      <w:r w:rsidRPr="008D1972">
        <w:rPr>
          <w:rFonts w:ascii="Times New Roman" w:hAnsi="Times New Roman" w:cs="Times New Roman"/>
          <w:sz w:val="24"/>
          <w:szCs w:val="24"/>
        </w:rPr>
        <w:t>and managed</w:t>
      </w:r>
      <w:commentRangeStart w:id="1"/>
      <w:r w:rsidRPr="008D1972">
        <w:rPr>
          <w:rFonts w:ascii="Times New Roman" w:hAnsi="Times New Roman" w:cs="Times New Roman"/>
          <w:sz w:val="24"/>
          <w:szCs w:val="24"/>
        </w:rPr>
        <w:t xml:space="preserve"> </w:t>
      </w:r>
      <w:commentRangeEnd w:id="1"/>
      <w:r w:rsidR="00D27F08" w:rsidRPr="008D1972">
        <w:rPr>
          <w:rStyle w:val="CommentReference"/>
          <w:rFonts w:ascii="Times New Roman" w:hAnsi="Times New Roman" w:cs="Times New Roman"/>
          <w:sz w:val="24"/>
          <w:szCs w:val="24"/>
        </w:rPr>
        <w:commentReference w:id="1"/>
      </w:r>
      <w:r w:rsidRPr="008D1972">
        <w:rPr>
          <w:rFonts w:ascii="Times New Roman" w:hAnsi="Times New Roman" w:cs="Times New Roman"/>
          <w:sz w:val="24"/>
          <w:szCs w:val="24"/>
        </w:rPr>
        <w:t xml:space="preserve">and this assumption collapsed when the COVID-19 </w:t>
      </w:r>
      <w:commentRangeStart w:id="2"/>
      <w:r w:rsidRPr="008D1972">
        <w:rPr>
          <w:rFonts w:ascii="Times New Roman" w:hAnsi="Times New Roman" w:cs="Times New Roman"/>
          <w:sz w:val="24"/>
          <w:szCs w:val="24"/>
        </w:rPr>
        <w:t>outbreak happened all at once during each stage of commercial real estate development</w:t>
      </w:r>
      <w:commentRangeEnd w:id="2"/>
      <w:r w:rsidR="00CE18BA" w:rsidRPr="008D1972">
        <w:rPr>
          <w:rStyle w:val="CommentReference"/>
          <w:rFonts w:ascii="Times New Roman" w:hAnsi="Times New Roman" w:cs="Times New Roman"/>
          <w:sz w:val="24"/>
          <w:szCs w:val="24"/>
        </w:rPr>
        <w:commentReference w:id="2"/>
      </w:r>
      <w:r w:rsidRPr="008D1972">
        <w:rPr>
          <w:rFonts w:ascii="Times New Roman" w:hAnsi="Times New Roman" w:cs="Times New Roman"/>
          <w:sz w:val="24"/>
          <w:szCs w:val="24"/>
        </w:rPr>
        <w:t xml:space="preserve">. A study on pandemic risk management for commercial real estate (CRE) projects is rooted in the ZJ commercial real estate development in Shanghai, Yangpu </w:t>
      </w:r>
      <w:r w:rsidRPr="008D1972">
        <w:rPr>
          <w:rFonts w:ascii="Times New Roman" w:hAnsi="Times New Roman" w:cs="Times New Roman"/>
          <w:sz w:val="24"/>
          <w:szCs w:val="24"/>
        </w:rPr>
        <w:fldChar w:fldCharType="begin"/>
      </w:r>
      <w:r w:rsidRPr="008D1972">
        <w:rPr>
          <w:rFonts w:ascii="Times New Roman" w:hAnsi="Times New Roman" w:cs="Times New Roman"/>
          <w:sz w:val="24"/>
          <w:szCs w:val="24"/>
        </w:rPr>
        <w:instrText xml:space="preserve"> ADDIN ZOTERO_ITEM CSL_CITATION {"citationID":"8QrnXn6v","properties":{"unsorted":false,"formattedCitation":"(Li et al., 2023)","plainCitation":"(Li et al., 2023)","noteIndex":0},"citationItems":[{"id":17069,"uris":["http://zotero.org/users/local/tDp9ODyy/items/6I9WGVJH"],"itemData":{"id":17069,"type":"article-journal","abstract":"The COVID-19 pandemic is the biggest global health crisis in years. China is the first market primarily affected by the COVID-19 pandemic, with unprecedented lockdown measures bringing real estate and other economic activities to a standstill. This study has two objectives: (1) to identify the risks critical to the risk management of commercial real estate (CRE) development projects based on the project life cycle stages and (2) to identify the stages most affected by the COVID-19 pandemic and the risk factors at different stages. Three rounds of the Delphi study were conducted with nine experts involved in the construction project. The findings indicate that the construction, lease and sale phases are prone to significant risks. Additionally, the analytic hierarchy process (AHP) identified ‘health and safety risk’ as the most critical risk factor during the construction phase and ‘marketing and payback risk’ as the most critical risk factor during the lease and sale phase. This study enhanced the effectiveness of risk management practices for implementing CRE development projects in China.","container-title":"International Journal of Technology Management &amp; Sustainable Development","DOI":"10.1386/tmsd_00069_1","ISSN":"1474-2748, 2040-0551","issue":"COVID-19: The Emergence of Innovative Solutions","language":"en","page":"99-121","publisher":"Intellect","source":"intellectdiscover.com","title":"Managing risk in commercial property development projects during the COVID-19 pandemic: Evidence from China","title-short":"Managing risk in commercial property development projects during the COVID-19 pandemic","volume":"22","author":[{"family":"Li","given":"Zijing"},{"family":"Duong","given":"Linh Nguyen Khanh"},{"family":"Kumar","given":"Vikas"},{"family":"Kumari","given":"Archana"},{"family":"Binh","given":"Tu Van"}],"issued":{"date-parts":[["2023",5,1]]}}}],"schema":"https://github.com/citation-style-language/schema/raw/master/csl-citation.json"} </w:instrText>
      </w:r>
      <w:r w:rsidRPr="008D1972">
        <w:rPr>
          <w:rFonts w:ascii="Times New Roman" w:hAnsi="Times New Roman" w:cs="Times New Roman"/>
          <w:sz w:val="24"/>
          <w:szCs w:val="24"/>
        </w:rPr>
        <w:fldChar w:fldCharType="separate"/>
      </w:r>
      <w:r w:rsidRPr="008D1972">
        <w:rPr>
          <w:rFonts w:ascii="Times New Roman" w:hAnsi="Times New Roman" w:cs="Times New Roman"/>
          <w:sz w:val="24"/>
          <w:szCs w:val="24"/>
        </w:rPr>
        <w:t>(Li et al., 2023)</w:t>
      </w:r>
      <w:r w:rsidRPr="008D1972">
        <w:rPr>
          <w:rFonts w:ascii="Times New Roman" w:hAnsi="Times New Roman" w:cs="Times New Roman"/>
          <w:sz w:val="24"/>
          <w:szCs w:val="24"/>
        </w:rPr>
        <w:fldChar w:fldCharType="end"/>
      </w:r>
      <w:r w:rsidRPr="008D1972">
        <w:rPr>
          <w:rFonts w:ascii="Times New Roman" w:hAnsi="Times New Roman" w:cs="Times New Roman"/>
          <w:sz w:val="24"/>
          <w:szCs w:val="24"/>
        </w:rPr>
        <w:t xml:space="preserve">. It involved 10,830 m² of retail and 97,375 m² of office spaces with a scheduled completion time of October 2018 to September 2023. As </w:t>
      </w:r>
      <w:commentRangeStart w:id="3"/>
      <w:r w:rsidRPr="008D1972">
        <w:rPr>
          <w:rFonts w:ascii="Times New Roman" w:hAnsi="Times New Roman" w:cs="Times New Roman"/>
          <w:sz w:val="24"/>
          <w:szCs w:val="24"/>
        </w:rPr>
        <w:t xml:space="preserve">China's </w:t>
      </w:r>
      <w:commentRangeStart w:id="4"/>
      <w:r w:rsidRPr="008D1972">
        <w:rPr>
          <w:rFonts w:ascii="Times New Roman" w:hAnsi="Times New Roman" w:cs="Times New Roman"/>
          <w:sz w:val="24"/>
          <w:szCs w:val="24"/>
        </w:rPr>
        <w:t>epicentre</w:t>
      </w:r>
      <w:commentRangeEnd w:id="4"/>
      <w:r w:rsidR="00E5210F" w:rsidRPr="008D1972">
        <w:rPr>
          <w:rStyle w:val="CommentReference"/>
          <w:rFonts w:ascii="Times New Roman" w:hAnsi="Times New Roman" w:cs="Times New Roman"/>
          <w:sz w:val="24"/>
          <w:szCs w:val="24"/>
        </w:rPr>
        <w:commentReference w:id="4"/>
      </w:r>
      <w:r w:rsidRPr="008D1972">
        <w:rPr>
          <w:rFonts w:ascii="Times New Roman" w:hAnsi="Times New Roman" w:cs="Times New Roman"/>
          <w:sz w:val="24"/>
          <w:szCs w:val="24"/>
        </w:rPr>
        <w:t xml:space="preserve"> during the 2022 COVID-19 pandemic, Shanghai's lockdown </w:t>
      </w:r>
      <w:commentRangeEnd w:id="3"/>
      <w:r w:rsidR="005372CF" w:rsidRPr="008D1972">
        <w:rPr>
          <w:rStyle w:val="CommentReference"/>
          <w:rFonts w:ascii="Times New Roman" w:hAnsi="Times New Roman" w:cs="Times New Roman"/>
          <w:sz w:val="24"/>
          <w:szCs w:val="24"/>
        </w:rPr>
        <w:commentReference w:id="3"/>
      </w:r>
      <w:r w:rsidRPr="008D1972">
        <w:rPr>
          <w:rFonts w:ascii="Times New Roman" w:hAnsi="Times New Roman" w:cs="Times New Roman"/>
          <w:sz w:val="24"/>
          <w:szCs w:val="24"/>
        </w:rPr>
        <w:t xml:space="preserve">caused more than a three-month delay in the ZJ project, costing the developer about USD 269 million in unexpected expenses. This research addresses this impact by adopting a three-round Delphi approach with nine experts, followed by Analytic Hierarchy Process (AHP) and fuzzy comprehensive evaluation (FCE) to identify, </w:t>
      </w:r>
      <w:commentRangeStart w:id="5"/>
      <w:r w:rsidRPr="008D1972">
        <w:rPr>
          <w:rFonts w:ascii="Times New Roman" w:hAnsi="Times New Roman" w:cs="Times New Roman"/>
          <w:sz w:val="24"/>
          <w:szCs w:val="24"/>
        </w:rPr>
        <w:t>prioritise</w:t>
      </w:r>
      <w:commentRangeEnd w:id="5"/>
      <w:r w:rsidR="001823FE" w:rsidRPr="008D1972">
        <w:rPr>
          <w:rStyle w:val="CommentReference"/>
          <w:rFonts w:ascii="Times New Roman" w:hAnsi="Times New Roman" w:cs="Times New Roman"/>
          <w:sz w:val="24"/>
          <w:szCs w:val="24"/>
        </w:rPr>
        <w:commentReference w:id="5"/>
      </w:r>
      <w:commentRangeStart w:id="6"/>
      <w:r w:rsidRPr="008D1972">
        <w:rPr>
          <w:rFonts w:ascii="Times New Roman" w:hAnsi="Times New Roman" w:cs="Times New Roman"/>
          <w:sz w:val="24"/>
          <w:szCs w:val="24"/>
        </w:rPr>
        <w:t xml:space="preserve"> </w:t>
      </w:r>
      <w:commentRangeEnd w:id="6"/>
      <w:r w:rsidR="00753056" w:rsidRPr="008D1972">
        <w:rPr>
          <w:rStyle w:val="CommentReference"/>
          <w:rFonts w:ascii="Times New Roman" w:hAnsi="Times New Roman" w:cs="Times New Roman"/>
          <w:sz w:val="24"/>
          <w:szCs w:val="24"/>
        </w:rPr>
        <w:commentReference w:id="6"/>
      </w:r>
      <w:r w:rsidRPr="008D1972">
        <w:rPr>
          <w:rFonts w:ascii="Times New Roman" w:hAnsi="Times New Roman" w:cs="Times New Roman"/>
          <w:sz w:val="24"/>
          <w:szCs w:val="24"/>
        </w:rPr>
        <w:t xml:space="preserve">and respond to 16 key risk factors across </w:t>
      </w:r>
      <w:commentRangeStart w:id="7"/>
      <w:r w:rsidRPr="008D1972">
        <w:rPr>
          <w:rFonts w:ascii="Times New Roman" w:hAnsi="Times New Roman" w:cs="Times New Roman"/>
          <w:sz w:val="24"/>
          <w:szCs w:val="24"/>
        </w:rPr>
        <w:t>four stages of the life cycle</w:t>
      </w:r>
      <w:commentRangeEnd w:id="7"/>
      <w:r w:rsidR="00510DD4" w:rsidRPr="008D1972">
        <w:rPr>
          <w:rStyle w:val="CommentReference"/>
          <w:rFonts w:ascii="Times New Roman" w:hAnsi="Times New Roman" w:cs="Times New Roman"/>
          <w:sz w:val="24"/>
          <w:szCs w:val="24"/>
        </w:rPr>
        <w:commentReference w:id="7"/>
      </w:r>
      <w:r w:rsidRPr="008D1972">
        <w:rPr>
          <w:rFonts w:ascii="Times New Roman" w:hAnsi="Times New Roman" w:cs="Times New Roman"/>
          <w:sz w:val="24"/>
          <w:szCs w:val="24"/>
        </w:rPr>
        <w:t>. The key project management insights from this case relate to procurement under a fragmented supply chain, enforceability of the contract under pandemic-induced ambiguity of the force majeure, and the conventional risk allocation models used in project risk management being unstructured towards unprecedented risks. These are explored below in terms of risk identification, evaluation, response</w:t>
      </w:r>
      <w:commentRangeStart w:id="8"/>
      <w:r w:rsidRPr="008D1972">
        <w:rPr>
          <w:rFonts w:ascii="Times New Roman" w:hAnsi="Times New Roman" w:cs="Times New Roman"/>
          <w:sz w:val="24"/>
          <w:szCs w:val="24"/>
        </w:rPr>
        <w:t xml:space="preserve"> </w:t>
      </w:r>
      <w:commentRangeEnd w:id="8"/>
      <w:r w:rsidR="00510DD4" w:rsidRPr="008D1972">
        <w:rPr>
          <w:rStyle w:val="CommentReference"/>
          <w:rFonts w:ascii="Times New Roman" w:hAnsi="Times New Roman" w:cs="Times New Roman"/>
          <w:sz w:val="24"/>
          <w:szCs w:val="24"/>
        </w:rPr>
        <w:commentReference w:id="8"/>
      </w:r>
      <w:r w:rsidRPr="008D1972">
        <w:rPr>
          <w:rFonts w:ascii="Times New Roman" w:hAnsi="Times New Roman" w:cs="Times New Roman"/>
          <w:sz w:val="24"/>
          <w:szCs w:val="24"/>
        </w:rPr>
        <w:t>and analysis.</w:t>
      </w:r>
    </w:p>
    <w:p w14:paraId="1B816924" w14:textId="77777777" w:rsidR="004A335F" w:rsidRPr="008D1972" w:rsidRDefault="004A335F" w:rsidP="00D21C7B">
      <w:pPr>
        <w:pStyle w:val="Heading1"/>
        <w:rPr>
          <w:rFonts w:cs="Times New Roman"/>
          <w:szCs w:val="24"/>
        </w:rPr>
      </w:pPr>
      <w:r w:rsidRPr="008D1972">
        <w:rPr>
          <w:rFonts w:cs="Times New Roman"/>
          <w:szCs w:val="24"/>
        </w:rPr>
        <w:t>Risk Identification</w:t>
      </w:r>
    </w:p>
    <w:p w14:paraId="1BF1F06A" w14:textId="3CF34F7A" w:rsidR="004A335F" w:rsidRPr="008D1972" w:rsidRDefault="004A335F" w:rsidP="00D21C7B">
      <w:pPr>
        <w:spacing w:after="0" w:line="480" w:lineRule="auto"/>
        <w:ind w:firstLine="720"/>
        <w:rPr>
          <w:rFonts w:ascii="Times New Roman" w:hAnsi="Times New Roman" w:cs="Times New Roman"/>
          <w:sz w:val="24"/>
          <w:szCs w:val="24"/>
        </w:rPr>
      </w:pPr>
      <w:r w:rsidRPr="008D1972">
        <w:rPr>
          <w:rFonts w:ascii="Times New Roman" w:hAnsi="Times New Roman" w:cs="Times New Roman"/>
          <w:sz w:val="24"/>
          <w:szCs w:val="24"/>
        </w:rPr>
        <w:t>The Delphi process started with an unrestricted prediction questionnaire sent to nine practitioners</w:t>
      </w:r>
      <w:commentRangeStart w:id="9"/>
      <w:r w:rsidRPr="008D1972">
        <w:rPr>
          <w:rFonts w:ascii="Times New Roman" w:hAnsi="Times New Roman" w:cs="Times New Roman"/>
          <w:sz w:val="24"/>
          <w:szCs w:val="24"/>
        </w:rPr>
        <w:t xml:space="preserve"> </w:t>
      </w:r>
      <w:commentRangeEnd w:id="9"/>
      <w:r w:rsidR="00260162" w:rsidRPr="008D1972">
        <w:rPr>
          <w:rStyle w:val="CommentReference"/>
          <w:rFonts w:ascii="Times New Roman" w:hAnsi="Times New Roman" w:cs="Times New Roman"/>
          <w:sz w:val="24"/>
          <w:szCs w:val="24"/>
        </w:rPr>
        <w:commentReference w:id="9"/>
      </w:r>
      <w:commentRangeStart w:id="10"/>
      <w:r w:rsidRPr="008D1972">
        <w:rPr>
          <w:rFonts w:ascii="Times New Roman" w:hAnsi="Times New Roman" w:cs="Times New Roman"/>
          <w:sz w:val="24"/>
          <w:szCs w:val="24"/>
        </w:rPr>
        <w:t>architect, structural engineer, consultant, project manager, engineering director, finance manager, marketing manager, construction engineer</w:t>
      </w:r>
      <w:commentRangeStart w:id="11"/>
      <w:r w:rsidRPr="008D1972">
        <w:rPr>
          <w:rFonts w:ascii="Times New Roman" w:hAnsi="Times New Roman" w:cs="Times New Roman"/>
          <w:sz w:val="24"/>
          <w:szCs w:val="24"/>
        </w:rPr>
        <w:t xml:space="preserve"> </w:t>
      </w:r>
      <w:commentRangeEnd w:id="11"/>
      <w:r w:rsidR="001E3F20" w:rsidRPr="008D1972">
        <w:rPr>
          <w:rStyle w:val="CommentReference"/>
          <w:rFonts w:ascii="Times New Roman" w:hAnsi="Times New Roman" w:cs="Times New Roman"/>
          <w:sz w:val="24"/>
          <w:szCs w:val="24"/>
        </w:rPr>
        <w:commentReference w:id="11"/>
      </w:r>
      <w:r w:rsidRPr="008D1972">
        <w:rPr>
          <w:rFonts w:ascii="Times New Roman" w:hAnsi="Times New Roman" w:cs="Times New Roman"/>
          <w:sz w:val="24"/>
          <w:szCs w:val="24"/>
        </w:rPr>
        <w:t xml:space="preserve">and project director </w:t>
      </w:r>
      <w:commentRangeEnd w:id="10"/>
      <w:r w:rsidR="00260162" w:rsidRPr="008D1972">
        <w:rPr>
          <w:rStyle w:val="CommentReference"/>
          <w:rFonts w:ascii="Times New Roman" w:hAnsi="Times New Roman" w:cs="Times New Roman"/>
          <w:sz w:val="24"/>
          <w:szCs w:val="24"/>
        </w:rPr>
        <w:commentReference w:id="10"/>
      </w:r>
      <w:r w:rsidRPr="008D1972">
        <w:rPr>
          <w:rFonts w:ascii="Times New Roman" w:hAnsi="Times New Roman" w:cs="Times New Roman"/>
          <w:sz w:val="24"/>
          <w:szCs w:val="24"/>
        </w:rPr>
        <w:t xml:space="preserve">with at least ten years of experience in the CRE industry and having been involved in the ZJ project. </w:t>
      </w:r>
      <w:commentRangeStart w:id="12"/>
      <w:r w:rsidRPr="008D1972">
        <w:rPr>
          <w:rFonts w:ascii="Times New Roman" w:hAnsi="Times New Roman" w:cs="Times New Roman"/>
          <w:sz w:val="24"/>
          <w:szCs w:val="24"/>
        </w:rPr>
        <w:t>This meant that the risk identification results were project</w:t>
      </w:r>
      <w:commentRangeStart w:id="13"/>
      <w:r w:rsidRPr="008D1972">
        <w:rPr>
          <w:rFonts w:ascii="Times New Roman" w:hAnsi="Times New Roman" w:cs="Times New Roman"/>
          <w:sz w:val="24"/>
          <w:szCs w:val="24"/>
        </w:rPr>
        <w:t xml:space="preserve"> </w:t>
      </w:r>
      <w:commentRangeEnd w:id="13"/>
      <w:r w:rsidR="001E3F20" w:rsidRPr="008D1972">
        <w:rPr>
          <w:rStyle w:val="CommentReference"/>
          <w:rFonts w:ascii="Times New Roman" w:hAnsi="Times New Roman" w:cs="Times New Roman"/>
          <w:sz w:val="24"/>
          <w:szCs w:val="24"/>
        </w:rPr>
        <w:commentReference w:id="13"/>
      </w:r>
      <w:r w:rsidRPr="008D1972">
        <w:rPr>
          <w:rFonts w:ascii="Times New Roman" w:hAnsi="Times New Roman" w:cs="Times New Roman"/>
          <w:sz w:val="24"/>
          <w:szCs w:val="24"/>
        </w:rPr>
        <w:t xml:space="preserve">specific rather than more broadly based on </w:t>
      </w:r>
      <w:r w:rsidRPr="008D1972">
        <w:rPr>
          <w:rFonts w:ascii="Times New Roman" w:hAnsi="Times New Roman" w:cs="Times New Roman"/>
          <w:sz w:val="24"/>
          <w:szCs w:val="24"/>
        </w:rPr>
        <w:lastRenderedPageBreak/>
        <w:t>industry expertise</w:t>
      </w:r>
      <w:commentRangeEnd w:id="12"/>
      <w:r w:rsidR="005D191F" w:rsidRPr="008D1972">
        <w:rPr>
          <w:rStyle w:val="CommentReference"/>
          <w:rFonts w:ascii="Times New Roman" w:hAnsi="Times New Roman" w:cs="Times New Roman"/>
          <w:sz w:val="24"/>
          <w:szCs w:val="24"/>
        </w:rPr>
        <w:commentReference w:id="12"/>
      </w:r>
      <w:r w:rsidRPr="008D1972">
        <w:rPr>
          <w:rFonts w:ascii="Times New Roman" w:hAnsi="Times New Roman" w:cs="Times New Roman"/>
          <w:sz w:val="24"/>
          <w:szCs w:val="24"/>
        </w:rPr>
        <w:t xml:space="preserve">. </w:t>
      </w:r>
      <w:commentRangeStart w:id="14"/>
      <w:r w:rsidRPr="008D1972">
        <w:rPr>
          <w:rFonts w:ascii="Times New Roman" w:hAnsi="Times New Roman" w:cs="Times New Roman"/>
          <w:sz w:val="24"/>
          <w:szCs w:val="24"/>
        </w:rPr>
        <w:t>We</w:t>
      </w:r>
      <w:commentRangeEnd w:id="14"/>
      <w:r w:rsidR="001E3F20" w:rsidRPr="008D1972">
        <w:rPr>
          <w:rStyle w:val="CommentReference"/>
          <w:rFonts w:ascii="Times New Roman" w:hAnsi="Times New Roman" w:cs="Times New Roman"/>
          <w:sz w:val="24"/>
          <w:szCs w:val="24"/>
        </w:rPr>
        <w:commentReference w:id="14"/>
      </w:r>
      <w:r w:rsidRPr="008D1972">
        <w:rPr>
          <w:rFonts w:ascii="Times New Roman" w:hAnsi="Times New Roman" w:cs="Times New Roman"/>
          <w:sz w:val="24"/>
          <w:szCs w:val="24"/>
        </w:rPr>
        <w:t xml:space="preserve"> then received </w:t>
      </w:r>
      <w:commentRangeStart w:id="15"/>
      <w:r w:rsidRPr="008D1972">
        <w:rPr>
          <w:rFonts w:ascii="Times New Roman" w:hAnsi="Times New Roman" w:cs="Times New Roman"/>
          <w:sz w:val="24"/>
          <w:szCs w:val="24"/>
        </w:rPr>
        <w:t>a free list of thirty risks</w:t>
      </w:r>
      <w:commentRangeEnd w:id="15"/>
      <w:r w:rsidR="00A9243B" w:rsidRPr="008D1972">
        <w:rPr>
          <w:rStyle w:val="CommentReference"/>
          <w:rFonts w:ascii="Times New Roman" w:hAnsi="Times New Roman" w:cs="Times New Roman"/>
          <w:sz w:val="24"/>
          <w:szCs w:val="24"/>
        </w:rPr>
        <w:commentReference w:id="15"/>
      </w:r>
      <w:r w:rsidRPr="008D1972">
        <w:rPr>
          <w:rFonts w:ascii="Times New Roman" w:hAnsi="Times New Roman" w:cs="Times New Roman"/>
          <w:sz w:val="24"/>
          <w:szCs w:val="24"/>
        </w:rPr>
        <w:t>. In the second round</w:t>
      </w:r>
      <w:commentRangeStart w:id="16"/>
      <w:r w:rsidRPr="008D1972">
        <w:rPr>
          <w:rFonts w:ascii="Times New Roman" w:hAnsi="Times New Roman" w:cs="Times New Roman"/>
          <w:sz w:val="24"/>
          <w:szCs w:val="24"/>
        </w:rPr>
        <w:t xml:space="preserve"> </w:t>
      </w:r>
      <w:commentRangeEnd w:id="16"/>
      <w:r w:rsidR="007F0277" w:rsidRPr="008D1972">
        <w:rPr>
          <w:rStyle w:val="CommentReference"/>
          <w:rFonts w:ascii="Times New Roman" w:hAnsi="Times New Roman" w:cs="Times New Roman"/>
          <w:sz w:val="24"/>
          <w:szCs w:val="24"/>
        </w:rPr>
        <w:commentReference w:id="16"/>
      </w:r>
      <w:r w:rsidRPr="008D1972">
        <w:rPr>
          <w:rFonts w:ascii="Times New Roman" w:hAnsi="Times New Roman" w:cs="Times New Roman"/>
          <w:sz w:val="24"/>
          <w:szCs w:val="24"/>
        </w:rPr>
        <w:t xml:space="preserve">the experts independently reviewed and </w:t>
      </w:r>
      <w:commentRangeStart w:id="17"/>
      <w:r w:rsidRPr="008D1972">
        <w:rPr>
          <w:rFonts w:ascii="Times New Roman" w:hAnsi="Times New Roman" w:cs="Times New Roman"/>
          <w:sz w:val="24"/>
          <w:szCs w:val="24"/>
        </w:rPr>
        <w:t>recategorised</w:t>
      </w:r>
      <w:commentRangeEnd w:id="17"/>
      <w:r w:rsidR="00994DFE" w:rsidRPr="008D1972">
        <w:rPr>
          <w:rStyle w:val="CommentReference"/>
          <w:rFonts w:ascii="Times New Roman" w:hAnsi="Times New Roman" w:cs="Times New Roman"/>
          <w:sz w:val="24"/>
          <w:szCs w:val="24"/>
        </w:rPr>
        <w:commentReference w:id="17"/>
      </w:r>
      <w:r w:rsidRPr="008D1972">
        <w:rPr>
          <w:rFonts w:ascii="Times New Roman" w:hAnsi="Times New Roman" w:cs="Times New Roman"/>
          <w:sz w:val="24"/>
          <w:szCs w:val="24"/>
        </w:rPr>
        <w:t xml:space="preserve"> these risks, using structured criteria, and in the third round, risks were restricted to those selected by at least 50% of the experts. The final list of 16 risks included three development decision phase risks (policy, development timing, and investment property type), four pre-development phase risks (capital, bidding, design, and contractual), four construction phase risks (cost, quality, schedule and health and safety) and five lease and sale phase risks (market, price, investment/merchant, marketing and payback, and network security). </w:t>
      </w:r>
      <w:r w:rsidRPr="008D1972">
        <w:rPr>
          <w:rFonts w:ascii="Times New Roman" w:hAnsi="Times New Roman" w:cs="Times New Roman"/>
          <w:sz w:val="24"/>
          <w:szCs w:val="24"/>
        </w:rPr>
        <w:fldChar w:fldCharType="begin"/>
      </w:r>
      <w:r w:rsidRPr="008D1972">
        <w:rPr>
          <w:rFonts w:ascii="Times New Roman" w:hAnsi="Times New Roman" w:cs="Times New Roman"/>
          <w:sz w:val="24"/>
          <w:szCs w:val="24"/>
        </w:rPr>
        <w:instrText xml:space="preserve"> ADDIN ZOTERO_ITEM CSL_CITATION {"citationID":"2sDOgquq","properties":{"unsorted":false,"formattedCitation":"(Perera et al., 2014)","plainCitation":"(Perera et al., 2014)","noteIndex":0},"citationItems":[{"id":17075,"uris":["http://zotero.org/users/local/tDp9ODyy/items/KMJ79VUQ"],"itemData":{"id":17075,"type":"article-journal","abstract":"The purpose of this study was twofold: (1) Identifying the risks that are critical for risk management of road construction projects in Sri Lanka on a life cycle basis and (2) defining the shares of the parties involved in projects in terms of handling the identified risks. A Delphi study was conducted among 33 Sri Lankan experts (consultants, project managers, contractors) in three rounds. The findings showed that the construction and design phases are prone to many major risks. Moreover, ‘delays in payment by the client’ was the most critical risk factor in the construction stage. Furthermore, it was established that some major risks could occur in more than one phase of the project life cycle, stressing the necessity of handling these risk factors as a prerequisite for project success. The discussions presented in this study would enhance the effectiveness of implementing risk management practices in Sri Lankan road construction projects. From a broader vantage point, it will also serve the risk management body of knowledge in the construction industry.","container-title":"International Journal of Construction Management","DOI":"10.1080/15623599.2013.875271","ISSN":"1562-3599","issue":"1","note":"_eprint: https://doi.org/10.1080/15623599.2013.875271","page":"1-14","publisher":"Taylor &amp; Francis","source":"Taylor and Francis+NEJM","title":"Enhancing the effectiveness of risk management practices in Sri Lankan road construction projects: A Delphi approach","title-short":"Enhancing the effectiveness of risk management practices in Sri Lankan road construction projects","volume":"14","author":[{"family":"Perera","given":"B.A.K.S."},{"family":"Rameezdeen","given":"Raufdeen"},{"family":"Chileshe","given":"Nicholas"},{"family":"Hosseini","given":"M. Reza"}],"issued":{"date-parts":[["2014",1,2]]}}}],"schema":"https://github.com/citation-style-language/schema/raw/master/csl-citation.json"} </w:instrText>
      </w:r>
      <w:r w:rsidRPr="008D1972">
        <w:rPr>
          <w:rFonts w:ascii="Times New Roman" w:hAnsi="Times New Roman" w:cs="Times New Roman"/>
          <w:sz w:val="24"/>
          <w:szCs w:val="24"/>
        </w:rPr>
        <w:fldChar w:fldCharType="separate"/>
      </w:r>
      <w:r w:rsidRPr="008D1972">
        <w:rPr>
          <w:rFonts w:ascii="Times New Roman" w:hAnsi="Times New Roman" w:cs="Times New Roman"/>
          <w:sz w:val="24"/>
          <w:szCs w:val="24"/>
        </w:rPr>
        <w:t>Perera et al. (2014)</w:t>
      </w:r>
      <w:r w:rsidRPr="008D1972">
        <w:rPr>
          <w:rFonts w:ascii="Times New Roman" w:hAnsi="Times New Roman" w:cs="Times New Roman"/>
          <w:sz w:val="24"/>
          <w:szCs w:val="24"/>
        </w:rPr>
        <w:fldChar w:fldCharType="end"/>
      </w:r>
      <w:r w:rsidRPr="008D1972">
        <w:rPr>
          <w:rFonts w:ascii="Times New Roman" w:hAnsi="Times New Roman" w:cs="Times New Roman"/>
          <w:sz w:val="24"/>
          <w:szCs w:val="24"/>
        </w:rPr>
        <w:t xml:space="preserve"> demonstrate expert-identified Delphi risk models are more constitutive of operationally useful risk registers than risk checklists, especially if project context knowledge is incorporated into </w:t>
      </w:r>
      <w:commentRangeStart w:id="18"/>
      <w:r w:rsidRPr="008D1972">
        <w:rPr>
          <w:rFonts w:ascii="Times New Roman" w:hAnsi="Times New Roman" w:cs="Times New Roman"/>
          <w:sz w:val="24"/>
          <w:szCs w:val="24"/>
        </w:rPr>
        <w:t xml:space="preserve">panellist </w:t>
      </w:r>
      <w:commentRangeEnd w:id="18"/>
      <w:r w:rsidR="00E5210F" w:rsidRPr="008D1972">
        <w:rPr>
          <w:rStyle w:val="CommentReference"/>
          <w:rFonts w:ascii="Times New Roman" w:hAnsi="Times New Roman" w:cs="Times New Roman"/>
          <w:sz w:val="24"/>
          <w:szCs w:val="24"/>
        </w:rPr>
        <w:commentReference w:id="18"/>
      </w:r>
      <w:r w:rsidRPr="008D1972">
        <w:rPr>
          <w:rFonts w:ascii="Times New Roman" w:hAnsi="Times New Roman" w:cs="Times New Roman"/>
          <w:sz w:val="24"/>
          <w:szCs w:val="24"/>
        </w:rPr>
        <w:t xml:space="preserve">recruitment. Thus, risk identification is significant in its consistency with a progressive elimination maxim, which </w:t>
      </w:r>
      <w:commentRangeStart w:id="19"/>
      <w:r w:rsidRPr="008D1972">
        <w:rPr>
          <w:rFonts w:ascii="Times New Roman" w:hAnsi="Times New Roman" w:cs="Times New Roman"/>
          <w:sz w:val="24"/>
          <w:szCs w:val="24"/>
        </w:rPr>
        <w:t>avoided</w:t>
      </w:r>
      <w:commentRangeEnd w:id="19"/>
      <w:r w:rsidR="001453D2" w:rsidRPr="008D1972">
        <w:rPr>
          <w:rStyle w:val="CommentReference"/>
          <w:rFonts w:ascii="Times New Roman" w:hAnsi="Times New Roman" w:cs="Times New Roman"/>
          <w:sz w:val="24"/>
          <w:szCs w:val="24"/>
        </w:rPr>
        <w:commentReference w:id="19"/>
      </w:r>
      <w:r w:rsidRPr="008D1972">
        <w:rPr>
          <w:rFonts w:ascii="Times New Roman" w:hAnsi="Times New Roman" w:cs="Times New Roman"/>
          <w:sz w:val="24"/>
          <w:szCs w:val="24"/>
        </w:rPr>
        <w:t xml:space="preserve"> bloating risk lists with speculative risks of limited consensus that could undermine management focus</w:t>
      </w:r>
      <w:commentRangeStart w:id="20"/>
      <w:r w:rsidRPr="008D1972">
        <w:rPr>
          <w:rFonts w:ascii="Times New Roman" w:hAnsi="Times New Roman" w:cs="Times New Roman"/>
          <w:sz w:val="24"/>
          <w:szCs w:val="24"/>
        </w:rPr>
        <w:t xml:space="preserve">. </w:t>
      </w:r>
      <w:commentRangeEnd w:id="20"/>
      <w:r w:rsidR="001453D2" w:rsidRPr="008D1972">
        <w:rPr>
          <w:rStyle w:val="CommentReference"/>
          <w:rFonts w:ascii="Times New Roman" w:hAnsi="Times New Roman" w:cs="Times New Roman"/>
          <w:sz w:val="24"/>
          <w:szCs w:val="24"/>
        </w:rPr>
        <w:commentReference w:id="20"/>
      </w:r>
    </w:p>
    <w:p w14:paraId="2BA0CC47" w14:textId="77777777" w:rsidR="004A335F" w:rsidRPr="008D1972" w:rsidRDefault="004A335F" w:rsidP="00D21C7B">
      <w:pPr>
        <w:pStyle w:val="Heading1"/>
        <w:rPr>
          <w:rFonts w:cs="Times New Roman"/>
          <w:szCs w:val="24"/>
        </w:rPr>
      </w:pPr>
      <w:r w:rsidRPr="008D1972">
        <w:rPr>
          <w:rFonts w:cs="Times New Roman"/>
          <w:szCs w:val="24"/>
        </w:rPr>
        <w:t>Risk Assessment and Prioriti</w:t>
      </w:r>
      <w:commentRangeStart w:id="21"/>
      <w:r w:rsidRPr="008D1972">
        <w:rPr>
          <w:rFonts w:cs="Times New Roman"/>
          <w:szCs w:val="24"/>
        </w:rPr>
        <w:t>s</w:t>
      </w:r>
      <w:commentRangeEnd w:id="21"/>
      <w:r w:rsidR="001453D2" w:rsidRPr="008D1972">
        <w:rPr>
          <w:rStyle w:val="CommentReference"/>
          <w:rFonts w:cs="Times New Roman"/>
          <w:sz w:val="24"/>
          <w:szCs w:val="24"/>
        </w:rPr>
        <w:commentReference w:id="21"/>
      </w:r>
      <w:r w:rsidRPr="008D1972">
        <w:rPr>
          <w:rFonts w:cs="Times New Roman"/>
          <w:szCs w:val="24"/>
        </w:rPr>
        <w:t>ation</w:t>
      </w:r>
    </w:p>
    <w:p w14:paraId="1B59CA8D" w14:textId="0F0ACB06" w:rsidR="004A335F" w:rsidRPr="008D1972" w:rsidRDefault="004A335F" w:rsidP="00D21C7B">
      <w:pPr>
        <w:spacing w:after="0" w:line="480" w:lineRule="auto"/>
        <w:ind w:firstLine="720"/>
        <w:rPr>
          <w:rFonts w:ascii="Times New Roman" w:hAnsi="Times New Roman" w:cs="Times New Roman"/>
          <w:sz w:val="24"/>
          <w:szCs w:val="24"/>
        </w:rPr>
      </w:pPr>
      <w:r w:rsidRPr="008D1972">
        <w:rPr>
          <w:rFonts w:ascii="Times New Roman" w:hAnsi="Times New Roman" w:cs="Times New Roman"/>
          <w:sz w:val="24"/>
          <w:szCs w:val="24"/>
        </w:rPr>
        <w:t xml:space="preserve">The AHP model structured the 16 risks into three levels: the primary goal of the assessment (Level 1), the four phases of the life cycle (Level 2), and the sub-risk factors (Level 3). The experts were asked to independently fill in the pairwise comparison matrices using </w:t>
      </w:r>
      <w:commentRangeStart w:id="22"/>
      <w:r w:rsidRPr="008D1972">
        <w:rPr>
          <w:rFonts w:ascii="Times New Roman" w:hAnsi="Times New Roman" w:cs="Times New Roman"/>
          <w:sz w:val="24"/>
          <w:szCs w:val="24"/>
        </w:rPr>
        <w:t xml:space="preserve">Saaty's (1991) </w:t>
      </w:r>
      <w:commentRangeEnd w:id="22"/>
      <w:r w:rsidR="00921EC0" w:rsidRPr="008D1972">
        <w:rPr>
          <w:rStyle w:val="CommentReference"/>
          <w:rFonts w:ascii="Times New Roman" w:hAnsi="Times New Roman" w:cs="Times New Roman"/>
          <w:sz w:val="24"/>
          <w:szCs w:val="24"/>
        </w:rPr>
        <w:commentReference w:id="22"/>
      </w:r>
      <w:r w:rsidRPr="008D1972">
        <w:rPr>
          <w:rFonts w:ascii="Times New Roman" w:hAnsi="Times New Roman" w:cs="Times New Roman"/>
          <w:sz w:val="24"/>
          <w:szCs w:val="24"/>
        </w:rPr>
        <w:t>one-to-nine scale, and all responses were checked for consistency with the consistency ratio (CR) ≤ 0.1 before they were grouped via the Yaahp software's group decision module. At the higher level, the highest composite weight for the phases was the construction phase at 0.4693, followed by the lease and sale phase at 0.2954, the pre-development phase at 0.1634</w:t>
      </w:r>
      <w:commentRangeStart w:id="23"/>
      <w:r w:rsidRPr="008D1972">
        <w:rPr>
          <w:rFonts w:ascii="Times New Roman" w:hAnsi="Times New Roman" w:cs="Times New Roman"/>
          <w:sz w:val="24"/>
          <w:szCs w:val="24"/>
        </w:rPr>
        <w:t xml:space="preserve"> </w:t>
      </w:r>
      <w:commentRangeEnd w:id="23"/>
      <w:r w:rsidR="008D1972" w:rsidRPr="008D1972">
        <w:rPr>
          <w:rStyle w:val="CommentReference"/>
          <w:rFonts w:ascii="Times New Roman" w:hAnsi="Times New Roman" w:cs="Times New Roman"/>
          <w:sz w:val="24"/>
          <w:szCs w:val="24"/>
        </w:rPr>
        <w:commentReference w:id="23"/>
      </w:r>
      <w:r w:rsidRPr="008D1972">
        <w:rPr>
          <w:rFonts w:ascii="Times New Roman" w:hAnsi="Times New Roman" w:cs="Times New Roman"/>
          <w:sz w:val="24"/>
          <w:szCs w:val="24"/>
        </w:rPr>
        <w:t xml:space="preserve">and the development decision phase at 0.0720. Of the sixteen sub-factors, the health and safety risk (R34) factor was the most important with a weight of 0.2416 - more than twice the weight of the next most important factor - followed by the marketing and payback risk (R44) at </w:t>
      </w:r>
      <w:r w:rsidRPr="008D1972">
        <w:rPr>
          <w:rFonts w:ascii="Times New Roman" w:hAnsi="Times New Roman" w:cs="Times New Roman"/>
          <w:sz w:val="24"/>
          <w:szCs w:val="24"/>
        </w:rPr>
        <w:lastRenderedPageBreak/>
        <w:t>0.1159, schedule risk (R33) at 0.0926, investment/merchant risk (R43) at 0.0839, and the cost risk (R31) at 0.0767. The FCE gave the project an overall risk rating of 2.74 out of a possible 5.0 points, indicating that the risk is medium according to the scale of risk categories, but the construction phase alone scored 3.02 points, entering into the high risk category. This distinction is important because it allows the project management team to make distinctions between total project-level risk and the specific level of risk for each project phase, benefiting resource allocation. All of the risks identified for the project are listed by category in the appendix,</w:t>
      </w:r>
      <w:commentRangeStart w:id="24"/>
      <w:r w:rsidRPr="008D1972">
        <w:rPr>
          <w:rFonts w:ascii="Times New Roman" w:hAnsi="Times New Roman" w:cs="Times New Roman"/>
          <w:sz w:val="24"/>
          <w:szCs w:val="24"/>
        </w:rPr>
        <w:t xml:space="preserve"> which is discussed through this analysis.</w:t>
      </w:r>
      <w:commentRangeEnd w:id="24"/>
      <w:r w:rsidR="00302E91" w:rsidRPr="008D1972">
        <w:rPr>
          <w:rStyle w:val="CommentReference"/>
          <w:rFonts w:ascii="Times New Roman" w:hAnsi="Times New Roman" w:cs="Times New Roman"/>
          <w:sz w:val="24"/>
          <w:szCs w:val="24"/>
        </w:rPr>
        <w:commentReference w:id="24"/>
      </w:r>
    </w:p>
    <w:p w14:paraId="5EBC4A8E" w14:textId="77777777" w:rsidR="004A335F" w:rsidRPr="008D1972" w:rsidRDefault="004A335F" w:rsidP="00D21C7B">
      <w:pPr>
        <w:pStyle w:val="Heading1"/>
        <w:rPr>
          <w:rFonts w:cs="Times New Roman"/>
          <w:szCs w:val="24"/>
        </w:rPr>
      </w:pPr>
      <w:r w:rsidRPr="008D1972">
        <w:rPr>
          <w:rFonts w:cs="Times New Roman"/>
          <w:szCs w:val="24"/>
        </w:rPr>
        <w:t>Risk Response: Prevention, Mitigation, and Contingency</w:t>
      </w:r>
    </w:p>
    <w:p w14:paraId="7885006D" w14:textId="2FFFB999" w:rsidR="004A335F" w:rsidRPr="008D1972" w:rsidRDefault="004A335F" w:rsidP="00D21C7B">
      <w:pPr>
        <w:spacing w:after="0" w:line="480" w:lineRule="auto"/>
        <w:ind w:firstLine="720"/>
        <w:rPr>
          <w:rFonts w:ascii="Times New Roman" w:hAnsi="Times New Roman" w:cs="Times New Roman"/>
          <w:sz w:val="24"/>
          <w:szCs w:val="24"/>
        </w:rPr>
      </w:pPr>
      <w:commentRangeStart w:id="25"/>
      <w:r w:rsidRPr="008D1972">
        <w:rPr>
          <w:rFonts w:ascii="Times New Roman" w:hAnsi="Times New Roman" w:cs="Times New Roman"/>
          <w:sz w:val="24"/>
          <w:szCs w:val="24"/>
        </w:rPr>
        <w:t>For the top priority risk, health and safety (R34)</w:t>
      </w:r>
      <w:commentRangeStart w:id="26"/>
      <w:r w:rsidRPr="008D1972">
        <w:rPr>
          <w:rFonts w:ascii="Times New Roman" w:hAnsi="Times New Roman" w:cs="Times New Roman"/>
          <w:sz w:val="24"/>
          <w:szCs w:val="24"/>
        </w:rPr>
        <w:t xml:space="preserve"> </w:t>
      </w:r>
      <w:commentRangeEnd w:id="26"/>
      <w:r w:rsidR="00B3404F" w:rsidRPr="008D1972">
        <w:rPr>
          <w:rStyle w:val="CommentReference"/>
          <w:rFonts w:ascii="Times New Roman" w:hAnsi="Times New Roman" w:cs="Times New Roman"/>
          <w:sz w:val="24"/>
          <w:szCs w:val="24"/>
        </w:rPr>
        <w:commentReference w:id="26"/>
      </w:r>
      <w:r w:rsidRPr="008D1972">
        <w:rPr>
          <w:rFonts w:ascii="Times New Roman" w:hAnsi="Times New Roman" w:cs="Times New Roman"/>
          <w:sz w:val="24"/>
          <w:szCs w:val="24"/>
        </w:rPr>
        <w:t xml:space="preserve">the ZJ project team put in place a suite of operational controls: social-distancing enforcement, staggered shift cycle scheduling to avoid high-density crowds, routine </w:t>
      </w:r>
      <w:commentRangeStart w:id="27"/>
      <w:r w:rsidRPr="008D1972">
        <w:rPr>
          <w:rFonts w:ascii="Times New Roman" w:hAnsi="Times New Roman" w:cs="Times New Roman"/>
          <w:sz w:val="24"/>
          <w:szCs w:val="24"/>
        </w:rPr>
        <w:t>healthchecks</w:t>
      </w:r>
      <w:commentRangeEnd w:id="27"/>
      <w:r w:rsidR="00753295" w:rsidRPr="008D1972">
        <w:rPr>
          <w:rStyle w:val="CommentReference"/>
          <w:rFonts w:ascii="Times New Roman" w:hAnsi="Times New Roman" w:cs="Times New Roman"/>
          <w:sz w:val="24"/>
          <w:szCs w:val="24"/>
        </w:rPr>
        <w:commentReference w:id="27"/>
      </w:r>
      <w:commentRangeStart w:id="28"/>
      <w:r w:rsidRPr="008D1972">
        <w:rPr>
          <w:rFonts w:ascii="Times New Roman" w:hAnsi="Times New Roman" w:cs="Times New Roman"/>
          <w:sz w:val="24"/>
          <w:szCs w:val="24"/>
        </w:rPr>
        <w:t xml:space="preserve">, sanitisation </w:t>
      </w:r>
      <w:commentRangeEnd w:id="28"/>
      <w:r w:rsidR="00753295" w:rsidRPr="008D1972">
        <w:rPr>
          <w:rStyle w:val="CommentReference"/>
          <w:rFonts w:ascii="Times New Roman" w:hAnsi="Times New Roman" w:cs="Times New Roman"/>
          <w:sz w:val="24"/>
          <w:szCs w:val="24"/>
        </w:rPr>
        <w:commentReference w:id="28"/>
      </w:r>
      <w:r w:rsidRPr="008D1972">
        <w:rPr>
          <w:rFonts w:ascii="Times New Roman" w:hAnsi="Times New Roman" w:cs="Times New Roman"/>
          <w:sz w:val="24"/>
          <w:szCs w:val="24"/>
        </w:rPr>
        <w:t xml:space="preserve">of contact surfaces of shared machinery and equipment, and provision of personal protective equipment for temporary workers </w:t>
      </w:r>
      <w:commentRangeStart w:id="29"/>
      <w:r w:rsidRPr="008D1972">
        <w:rPr>
          <w:rFonts w:ascii="Times New Roman" w:hAnsi="Times New Roman" w:cs="Times New Roman"/>
          <w:sz w:val="24"/>
          <w:szCs w:val="24"/>
        </w:rPr>
        <w:t xml:space="preserve">mobilised </w:t>
      </w:r>
      <w:commentRangeEnd w:id="29"/>
      <w:r w:rsidR="00023D8A" w:rsidRPr="008D1972">
        <w:rPr>
          <w:rStyle w:val="CommentReference"/>
          <w:rFonts w:ascii="Times New Roman" w:hAnsi="Times New Roman" w:cs="Times New Roman"/>
          <w:sz w:val="24"/>
          <w:szCs w:val="24"/>
        </w:rPr>
        <w:commentReference w:id="29"/>
      </w:r>
      <w:r w:rsidRPr="008D1972">
        <w:rPr>
          <w:rFonts w:ascii="Times New Roman" w:hAnsi="Times New Roman" w:cs="Times New Roman"/>
          <w:sz w:val="24"/>
          <w:szCs w:val="24"/>
        </w:rPr>
        <w:t>under l</w:t>
      </w:r>
      <w:commentRangeStart w:id="30"/>
      <w:r w:rsidRPr="008D1972">
        <w:rPr>
          <w:rFonts w:ascii="Times New Roman" w:hAnsi="Times New Roman" w:cs="Times New Roman"/>
          <w:sz w:val="24"/>
          <w:szCs w:val="24"/>
        </w:rPr>
        <w:t>abou</w:t>
      </w:r>
      <w:commentRangeEnd w:id="30"/>
      <w:r w:rsidR="00F82FB4" w:rsidRPr="008D1972">
        <w:rPr>
          <w:rStyle w:val="CommentReference"/>
          <w:rFonts w:ascii="Times New Roman" w:hAnsi="Times New Roman" w:cs="Times New Roman"/>
          <w:sz w:val="24"/>
          <w:szCs w:val="24"/>
        </w:rPr>
        <w:commentReference w:id="30"/>
      </w:r>
      <w:r w:rsidRPr="008D1972">
        <w:rPr>
          <w:rFonts w:ascii="Times New Roman" w:hAnsi="Times New Roman" w:cs="Times New Roman"/>
          <w:sz w:val="24"/>
          <w:szCs w:val="24"/>
        </w:rPr>
        <w:t xml:space="preserve">r-shortage circumstances. These are examples of prevention controls to reduce infection likelihood prior to health incidents. </w:t>
      </w:r>
      <w:commentRangeStart w:id="31"/>
      <w:r w:rsidRPr="008D1972">
        <w:rPr>
          <w:rFonts w:ascii="Times New Roman" w:hAnsi="Times New Roman" w:cs="Times New Roman"/>
          <w:sz w:val="24"/>
          <w:szCs w:val="24"/>
        </w:rPr>
        <w:fldChar w:fldCharType="begin"/>
      </w:r>
      <w:r w:rsidRPr="008D1972">
        <w:rPr>
          <w:rFonts w:ascii="Times New Roman" w:hAnsi="Times New Roman" w:cs="Times New Roman"/>
          <w:sz w:val="24"/>
          <w:szCs w:val="24"/>
        </w:rPr>
        <w:instrText xml:space="preserve"> ADDIN ZOTERO_ITEM CSL_CITATION {"citationID":"m1IvMcXb","properties":{"unsorted":false,"formattedCitation":"(King &amp; Lamontagne, 2021)","plainCitation":"(King &amp; Lamontagne, 2021)","noteIndex":0},"citationItems":[{"id":17068,"uris":["http://zotero.org/users/local/tDp9ODyy/items/7ML2JIZV"],"itemData":{"id":17068,"type":"article-journal","abstract":"Aims:Worldwide, construction industries are considered to be key economic pillars of the societies they serve, and construction workers constitute a sizeable proportion of the global paid workforce. In many parts of the world, construction workers are at elevated risk of suicide. Here, we examine the extent to which construction workers may be differentially exposed to the economic effects of COVID-19.Methods:A narrative review and synthesis of the literature was conducted.Results:The economic and labour market shock resulting from the COVID-19 pandemic has led to a convergence of factors that may significantly exacerbate suicide risk among construction workers, particularly among those with lower skills.Conclusions:With important insights from previous financial crises, it is vital that governments, industry and workplaces act rapidly to mitigate suicide risk among vulnerable groups such as construction workers. Mental healthcare investment is needed, and must be complemented by prevention and control in the workplace and in the general community. Anticipating, preparing and acting to ameliorate this risk, particularly among low skilled construction workers, will save many livelihoods, as well as lives.","container-title":"Scandinavian Journal of Public Health","DOI":"10.1177/1403494821993707","ISSN":"1403-4948","issue":"7","journalAbbreviation":"Scand J Public Health","language":"EN","page":"774-778","publisher":"SAGE Publications Ltd STM","source":"SAGE Journals","title":"COVID-19 and suicide risk in the construction sector: preparing for a perfect storm","title-short":"COVID-19 and suicide risk in the construction sector","volume":"49","author":[{"family":"King","given":"Tania L."},{"family":"Lamontagne","given":"Anthony D."}],"issued":{"date-parts":[["2021",11,1]]}}}],"schema":"https://github.com/citation-style-language/schema/raw/master/csl-citation.json"} </w:instrText>
      </w:r>
      <w:r w:rsidRPr="008D1972">
        <w:rPr>
          <w:rFonts w:ascii="Times New Roman" w:hAnsi="Times New Roman" w:cs="Times New Roman"/>
          <w:sz w:val="24"/>
          <w:szCs w:val="24"/>
        </w:rPr>
        <w:fldChar w:fldCharType="separate"/>
      </w:r>
      <w:r w:rsidRPr="008D1972">
        <w:rPr>
          <w:rFonts w:ascii="Times New Roman" w:hAnsi="Times New Roman" w:cs="Times New Roman"/>
          <w:sz w:val="24"/>
          <w:szCs w:val="24"/>
        </w:rPr>
        <w:t>King &amp; Lamontagne (2021)</w:t>
      </w:r>
      <w:r w:rsidRPr="008D1972">
        <w:rPr>
          <w:rFonts w:ascii="Times New Roman" w:hAnsi="Times New Roman" w:cs="Times New Roman"/>
          <w:sz w:val="24"/>
          <w:szCs w:val="24"/>
        </w:rPr>
        <w:fldChar w:fldCharType="end"/>
      </w:r>
      <w:r w:rsidRPr="008D1972">
        <w:rPr>
          <w:rFonts w:ascii="Times New Roman" w:hAnsi="Times New Roman" w:cs="Times New Roman"/>
          <w:sz w:val="24"/>
          <w:szCs w:val="24"/>
        </w:rPr>
        <w:t xml:space="preserve"> report that construction projects are inherently riskier due to concentrated worker density and physical </w:t>
      </w:r>
      <w:commentRangeStart w:id="32"/>
      <w:r w:rsidRPr="008D1972">
        <w:rPr>
          <w:rFonts w:ascii="Times New Roman" w:hAnsi="Times New Roman" w:cs="Times New Roman"/>
          <w:sz w:val="24"/>
          <w:szCs w:val="24"/>
        </w:rPr>
        <w:t>labour</w:t>
      </w:r>
      <w:commentRangeEnd w:id="32"/>
      <w:r w:rsidR="00023D8A" w:rsidRPr="008D1972">
        <w:rPr>
          <w:rStyle w:val="CommentReference"/>
          <w:rFonts w:ascii="Times New Roman" w:hAnsi="Times New Roman" w:cs="Times New Roman"/>
          <w:sz w:val="24"/>
          <w:szCs w:val="24"/>
        </w:rPr>
        <w:commentReference w:id="32"/>
      </w:r>
      <w:r w:rsidRPr="008D1972">
        <w:rPr>
          <w:rFonts w:ascii="Times New Roman" w:hAnsi="Times New Roman" w:cs="Times New Roman"/>
          <w:sz w:val="24"/>
          <w:szCs w:val="24"/>
        </w:rPr>
        <w:t>-intensive nature</w:t>
      </w:r>
      <w:commentRangeEnd w:id="31"/>
      <w:r w:rsidR="00D0670F" w:rsidRPr="008D1972">
        <w:rPr>
          <w:rStyle w:val="CommentReference"/>
          <w:rFonts w:ascii="Times New Roman" w:hAnsi="Times New Roman" w:cs="Times New Roman"/>
          <w:sz w:val="24"/>
          <w:szCs w:val="24"/>
        </w:rPr>
        <w:commentReference w:id="31"/>
      </w:r>
      <w:r w:rsidRPr="008D1972">
        <w:rPr>
          <w:rFonts w:ascii="Times New Roman" w:hAnsi="Times New Roman" w:cs="Times New Roman"/>
          <w:sz w:val="24"/>
          <w:szCs w:val="24"/>
        </w:rPr>
        <w:t>. Thus, the application of preventive operational controls at this stage had a greater impact than containment operational controls enacted after</w:t>
      </w:r>
      <w:commentRangeStart w:id="33"/>
      <w:r w:rsidRPr="008D1972">
        <w:rPr>
          <w:rFonts w:ascii="Times New Roman" w:hAnsi="Times New Roman" w:cs="Times New Roman"/>
          <w:sz w:val="24"/>
          <w:szCs w:val="24"/>
        </w:rPr>
        <w:t xml:space="preserve"> </w:t>
      </w:r>
      <w:commentRangeEnd w:id="33"/>
      <w:r w:rsidR="00B16F71" w:rsidRPr="008D1972">
        <w:rPr>
          <w:rStyle w:val="CommentReference"/>
          <w:rFonts w:ascii="Times New Roman" w:hAnsi="Times New Roman" w:cs="Times New Roman"/>
          <w:sz w:val="24"/>
          <w:szCs w:val="24"/>
        </w:rPr>
        <w:commentReference w:id="33"/>
      </w:r>
      <w:r w:rsidRPr="008D1972">
        <w:rPr>
          <w:rFonts w:ascii="Times New Roman" w:hAnsi="Times New Roman" w:cs="Times New Roman"/>
          <w:sz w:val="24"/>
          <w:szCs w:val="24"/>
        </w:rPr>
        <w:t>outbreak.</w:t>
      </w:r>
    </w:p>
    <w:p w14:paraId="1E1E2AFB" w14:textId="606714E6" w:rsidR="004A335F" w:rsidRPr="008D1972" w:rsidRDefault="004A335F" w:rsidP="00D21C7B">
      <w:pPr>
        <w:spacing w:after="0" w:line="480" w:lineRule="auto"/>
        <w:ind w:firstLine="720"/>
        <w:rPr>
          <w:rFonts w:ascii="Times New Roman" w:hAnsi="Times New Roman" w:cs="Times New Roman"/>
          <w:sz w:val="24"/>
          <w:szCs w:val="24"/>
        </w:rPr>
      </w:pPr>
      <w:r w:rsidRPr="008D1972">
        <w:rPr>
          <w:rFonts w:ascii="Times New Roman" w:hAnsi="Times New Roman" w:cs="Times New Roman"/>
          <w:sz w:val="24"/>
          <w:szCs w:val="24"/>
        </w:rPr>
        <w:t xml:space="preserve">Risk of schedule delay (R33) was managed through supply chain diversification (a </w:t>
      </w:r>
      <w:commentRangeStart w:id="34"/>
      <w:r w:rsidRPr="008D1972">
        <w:rPr>
          <w:rFonts w:ascii="Times New Roman" w:hAnsi="Times New Roman" w:cs="Times New Roman"/>
          <w:sz w:val="24"/>
          <w:szCs w:val="24"/>
        </w:rPr>
        <w:t>centralised</w:t>
      </w:r>
      <w:commentRangeEnd w:id="34"/>
      <w:r w:rsidR="0041249E" w:rsidRPr="008D1972">
        <w:rPr>
          <w:rStyle w:val="CommentReference"/>
          <w:rFonts w:ascii="Times New Roman" w:hAnsi="Times New Roman" w:cs="Times New Roman"/>
          <w:sz w:val="24"/>
          <w:szCs w:val="24"/>
        </w:rPr>
        <w:commentReference w:id="34"/>
      </w:r>
      <w:r w:rsidRPr="008D1972">
        <w:rPr>
          <w:rFonts w:ascii="Times New Roman" w:hAnsi="Times New Roman" w:cs="Times New Roman"/>
          <w:sz w:val="24"/>
          <w:szCs w:val="24"/>
        </w:rPr>
        <w:t xml:space="preserve"> supply centre was established to supply materials to different regions in an accessible location using real-time in-transit material tracking, with deferred payment agreement with long</w:t>
      </w:r>
      <w:commentRangeStart w:id="35"/>
      <w:r w:rsidRPr="008D1972">
        <w:rPr>
          <w:rFonts w:ascii="Times New Roman" w:hAnsi="Times New Roman" w:cs="Times New Roman"/>
          <w:sz w:val="24"/>
          <w:szCs w:val="24"/>
        </w:rPr>
        <w:t xml:space="preserve"> </w:t>
      </w:r>
      <w:commentRangeEnd w:id="35"/>
      <w:r w:rsidR="000B5ED5" w:rsidRPr="008D1972">
        <w:rPr>
          <w:rStyle w:val="CommentReference"/>
          <w:rFonts w:ascii="Times New Roman" w:hAnsi="Times New Roman" w:cs="Times New Roman"/>
          <w:sz w:val="24"/>
          <w:szCs w:val="24"/>
        </w:rPr>
        <w:commentReference w:id="35"/>
      </w:r>
      <w:r w:rsidRPr="008D1972">
        <w:rPr>
          <w:rFonts w:ascii="Times New Roman" w:hAnsi="Times New Roman" w:cs="Times New Roman"/>
          <w:sz w:val="24"/>
          <w:szCs w:val="24"/>
        </w:rPr>
        <w:t xml:space="preserve">term suppliers in the face of cash flow disruption). Cost risk (R31) was addressed through grouped procurement, with joint material purchases for project components to lower the cost per </w:t>
      </w:r>
      <w:r w:rsidRPr="008D1972">
        <w:rPr>
          <w:rFonts w:ascii="Times New Roman" w:hAnsi="Times New Roman" w:cs="Times New Roman"/>
          <w:sz w:val="24"/>
          <w:szCs w:val="24"/>
        </w:rPr>
        <w:lastRenderedPageBreak/>
        <w:t xml:space="preserve">unit and negate price escalation from supply chain disruptions during the pandemic. Marketing and payback risk (R44) was managed via flexible rather than defensive reaction: the developer was asked to provide digital leasing assets (such as virtual reality walkthroughs of developments and online merchant matching), while evolving lease pricing strategies over time to reflect market positioning and tenant business models, rather than blanket rent discounting. Investment/merchant risk (R43) was managed through contractual mechanisms such as expanded force majeure provisions, supplementary cost escalation provisions and pre negotiated dispute resolution processes, thereby </w:t>
      </w:r>
      <w:commentRangeStart w:id="36"/>
      <w:r w:rsidRPr="008D1972">
        <w:rPr>
          <w:rFonts w:ascii="Times New Roman" w:hAnsi="Times New Roman" w:cs="Times New Roman"/>
          <w:sz w:val="24"/>
          <w:szCs w:val="24"/>
        </w:rPr>
        <w:t>minimising</w:t>
      </w:r>
      <w:commentRangeEnd w:id="36"/>
      <w:r w:rsidR="00E5210F" w:rsidRPr="008D1972">
        <w:rPr>
          <w:rStyle w:val="CommentReference"/>
          <w:rFonts w:ascii="Times New Roman" w:hAnsi="Times New Roman" w:cs="Times New Roman"/>
          <w:sz w:val="24"/>
          <w:szCs w:val="24"/>
        </w:rPr>
        <w:commentReference w:id="36"/>
      </w:r>
      <w:r w:rsidRPr="008D1972">
        <w:rPr>
          <w:rFonts w:ascii="Times New Roman" w:hAnsi="Times New Roman" w:cs="Times New Roman"/>
          <w:sz w:val="24"/>
          <w:szCs w:val="24"/>
        </w:rPr>
        <w:t xml:space="preserve"> the scope for countervailing renegotiation in the face of uncertainty. Although lower in weight, policy risk (R11) was dealt with via active government liaison with Yangpu District officials, a risk response that acknowledges the fact that regulatory risks in Chinese real estate are largely transferrable and hence best managed via discrete relationship management.</w:t>
      </w:r>
      <w:commentRangeEnd w:id="25"/>
      <w:r w:rsidR="00195C8D" w:rsidRPr="008D1972">
        <w:rPr>
          <w:rStyle w:val="CommentReference"/>
          <w:rFonts w:ascii="Times New Roman" w:hAnsi="Times New Roman" w:cs="Times New Roman"/>
          <w:sz w:val="24"/>
          <w:szCs w:val="24"/>
        </w:rPr>
        <w:commentReference w:id="25"/>
      </w:r>
    </w:p>
    <w:p w14:paraId="0663AC5D" w14:textId="77777777" w:rsidR="004A335F" w:rsidRPr="008D1972" w:rsidRDefault="004A335F" w:rsidP="00D21C7B">
      <w:pPr>
        <w:pStyle w:val="Heading1"/>
        <w:rPr>
          <w:rFonts w:cs="Times New Roman"/>
          <w:szCs w:val="24"/>
        </w:rPr>
      </w:pPr>
      <w:r w:rsidRPr="008D1972">
        <w:rPr>
          <w:rFonts w:cs="Times New Roman"/>
          <w:szCs w:val="24"/>
        </w:rPr>
        <w:t>Conceptual Risk Response Framework</w:t>
      </w:r>
    </w:p>
    <w:p w14:paraId="38D822B5" w14:textId="129FB34D" w:rsidR="004A335F" w:rsidRPr="008D1972" w:rsidRDefault="004A335F" w:rsidP="00D21C7B">
      <w:pPr>
        <w:spacing w:after="0" w:line="480" w:lineRule="auto"/>
        <w:ind w:firstLine="720"/>
        <w:rPr>
          <w:rFonts w:ascii="Times New Roman" w:hAnsi="Times New Roman" w:cs="Times New Roman"/>
          <w:sz w:val="24"/>
          <w:szCs w:val="24"/>
        </w:rPr>
      </w:pPr>
      <w:commentRangeStart w:id="37"/>
      <w:r w:rsidRPr="008D1972">
        <w:rPr>
          <w:rFonts w:ascii="Times New Roman" w:hAnsi="Times New Roman" w:cs="Times New Roman"/>
          <w:sz w:val="24"/>
          <w:szCs w:val="24"/>
        </w:rPr>
        <w:t xml:space="preserve">The research progressive risk management comprises </w:t>
      </w:r>
      <w:commentRangeEnd w:id="37"/>
      <w:r w:rsidR="004E04FD" w:rsidRPr="008D1972">
        <w:rPr>
          <w:rStyle w:val="CommentReference"/>
          <w:rFonts w:ascii="Times New Roman" w:hAnsi="Times New Roman" w:cs="Times New Roman"/>
          <w:sz w:val="24"/>
          <w:szCs w:val="24"/>
        </w:rPr>
        <w:commentReference w:id="37"/>
      </w:r>
      <w:r w:rsidRPr="008D1972">
        <w:rPr>
          <w:rFonts w:ascii="Times New Roman" w:hAnsi="Times New Roman" w:cs="Times New Roman"/>
          <w:sz w:val="24"/>
          <w:szCs w:val="24"/>
        </w:rPr>
        <w:t>the four conventional stages of risk identification, analysis, response</w:t>
      </w:r>
      <w:commentRangeStart w:id="38"/>
      <w:r w:rsidRPr="008D1972">
        <w:rPr>
          <w:rFonts w:ascii="Times New Roman" w:hAnsi="Times New Roman" w:cs="Times New Roman"/>
          <w:sz w:val="24"/>
          <w:szCs w:val="24"/>
        </w:rPr>
        <w:t xml:space="preserve"> </w:t>
      </w:r>
      <w:commentRangeEnd w:id="38"/>
      <w:r w:rsidR="004E04FD" w:rsidRPr="008D1972">
        <w:rPr>
          <w:rStyle w:val="CommentReference"/>
          <w:rFonts w:ascii="Times New Roman" w:hAnsi="Times New Roman" w:cs="Times New Roman"/>
          <w:sz w:val="24"/>
          <w:szCs w:val="24"/>
        </w:rPr>
        <w:commentReference w:id="38"/>
      </w:r>
      <w:r w:rsidRPr="008D1972">
        <w:rPr>
          <w:rFonts w:ascii="Times New Roman" w:hAnsi="Times New Roman" w:cs="Times New Roman"/>
          <w:sz w:val="24"/>
          <w:szCs w:val="24"/>
        </w:rPr>
        <w:t>and monitoring through the life cycle of the project. The study used Delphi panel expert judgements to identify factors, quantitative AHP-recommended multi-criteria analysis (MCA) supplemented by FCE for assessment, and avoidance, mitigation, transfer</w:t>
      </w:r>
      <w:commentRangeStart w:id="39"/>
      <w:r w:rsidRPr="008D1972">
        <w:rPr>
          <w:rFonts w:ascii="Times New Roman" w:hAnsi="Times New Roman" w:cs="Times New Roman"/>
          <w:sz w:val="24"/>
          <w:szCs w:val="24"/>
        </w:rPr>
        <w:t xml:space="preserve"> </w:t>
      </w:r>
      <w:commentRangeEnd w:id="39"/>
      <w:r w:rsidR="004E04FD" w:rsidRPr="008D1972">
        <w:rPr>
          <w:rStyle w:val="CommentReference"/>
          <w:rFonts w:ascii="Times New Roman" w:hAnsi="Times New Roman" w:cs="Times New Roman"/>
          <w:sz w:val="24"/>
          <w:szCs w:val="24"/>
        </w:rPr>
        <w:commentReference w:id="39"/>
      </w:r>
      <w:r w:rsidRPr="008D1972">
        <w:rPr>
          <w:rFonts w:ascii="Times New Roman" w:hAnsi="Times New Roman" w:cs="Times New Roman"/>
          <w:sz w:val="24"/>
          <w:szCs w:val="24"/>
        </w:rPr>
        <w:t xml:space="preserve">and acceptance for response based on controllability and severity </w:t>
      </w:r>
      <w:r w:rsidRPr="008D1972">
        <w:rPr>
          <w:rFonts w:ascii="Times New Roman" w:hAnsi="Times New Roman" w:cs="Times New Roman"/>
          <w:sz w:val="24"/>
          <w:szCs w:val="24"/>
        </w:rPr>
        <w:fldChar w:fldCharType="begin"/>
      </w:r>
      <w:r w:rsidRPr="008D1972">
        <w:rPr>
          <w:rFonts w:ascii="Times New Roman" w:hAnsi="Times New Roman" w:cs="Times New Roman"/>
          <w:sz w:val="24"/>
          <w:szCs w:val="24"/>
        </w:rPr>
        <w:instrText xml:space="preserve"> ADDIN ZOTERO_ITEM CSL_CITATION {"citationID":"VznYXD6y","properties":{"unsorted":false,"formattedCitation":"(Li et al., 2023)","plainCitation":"(Li et al., 2023)","noteIndex":0},"citationItems":[{"id":17069,"uris":["http://zotero.org/users/local/tDp9ODyy/items/6I9WGVJH"],"itemData":{"id":17069,"type":"article-journal","abstract":"The COVID-19 pandemic is the biggest global health crisis in years. China is the first market primarily affected by the COVID-19 pandemic, with unprecedented lockdown measures bringing real estate and other economic activities to a standstill. This study has two objectives: (1) to identify the risks critical to the risk management of commercial real estate (CRE) development projects based on the project life cycle stages and (2) to identify the stages most affected by the COVID-19 pandemic and the risk factors at different stages. Three rounds of the Delphi study were conducted with nine experts involved in the construction project. The findings indicate that the construction, lease and sale phases are prone to significant risks. Additionally, the analytic hierarchy process (AHP) identified ‘health and safety risk’ as the most critical risk factor during the construction phase and ‘marketing and payback risk’ as the most critical risk factor during the lease and sale phase. This study enhanced the effectiveness of risk management practices for implementing CRE development projects in China.","container-title":"International Journal of Technology Management &amp; Sustainable Development","DOI":"10.1386/tmsd_00069_1","ISSN":"1474-2748, 2040-0551","issue":"COVID-19: The Emergence of Innovative Solutions","language":"en","page":"99-121","publisher":"Intellect","source":"intellectdiscover.com","title":"Managing risk in commercial property development projects during the COVID-19 pandemic: Evidence from China","title-short":"Managing risk in commercial property development projects during the COVID-19 pandemic","volume":"22","author":[{"family":"Li","given":"Zijing"},{"family":"Duong","given":"Linh Nguyen Khanh"},{"family":"Kumar","given":"Vikas"},{"family":"Kumari","given":"Archana"},{"family":"Binh","given":"Tu Van"}],"issued":{"date-parts":[["2023",5,1]]}}}],"schema":"https://github.com/citation-style-language/schema/raw/master/csl-citation.json"} </w:instrText>
      </w:r>
      <w:r w:rsidRPr="008D1972">
        <w:rPr>
          <w:rFonts w:ascii="Times New Roman" w:hAnsi="Times New Roman" w:cs="Times New Roman"/>
          <w:sz w:val="24"/>
          <w:szCs w:val="24"/>
        </w:rPr>
        <w:fldChar w:fldCharType="separate"/>
      </w:r>
      <w:r w:rsidRPr="008D1972">
        <w:rPr>
          <w:rFonts w:ascii="Times New Roman" w:hAnsi="Times New Roman" w:cs="Times New Roman"/>
          <w:sz w:val="24"/>
          <w:szCs w:val="24"/>
        </w:rPr>
        <w:t>(Li et al., 2023)</w:t>
      </w:r>
      <w:r w:rsidRPr="008D1972">
        <w:rPr>
          <w:rFonts w:ascii="Times New Roman" w:hAnsi="Times New Roman" w:cs="Times New Roman"/>
          <w:sz w:val="24"/>
          <w:szCs w:val="24"/>
        </w:rPr>
        <w:fldChar w:fldCharType="end"/>
      </w:r>
      <w:r w:rsidRPr="008D1972">
        <w:rPr>
          <w:rFonts w:ascii="Times New Roman" w:hAnsi="Times New Roman" w:cs="Times New Roman"/>
          <w:sz w:val="24"/>
          <w:szCs w:val="24"/>
        </w:rPr>
        <w:t>. This was intricately built into the contracting company's ongoing communication with its suppliers, and the developer's relations with</w:t>
      </w:r>
      <w:commentRangeStart w:id="40"/>
      <w:r w:rsidRPr="008D1972">
        <w:rPr>
          <w:rFonts w:ascii="Times New Roman" w:hAnsi="Times New Roman" w:cs="Times New Roman"/>
          <w:sz w:val="24"/>
          <w:szCs w:val="24"/>
        </w:rPr>
        <w:t xml:space="preserve"> </w:t>
      </w:r>
      <w:commentRangeEnd w:id="40"/>
      <w:r w:rsidR="004E04FD" w:rsidRPr="008D1972">
        <w:rPr>
          <w:rStyle w:val="CommentReference"/>
          <w:rFonts w:ascii="Times New Roman" w:hAnsi="Times New Roman" w:cs="Times New Roman"/>
          <w:sz w:val="24"/>
          <w:szCs w:val="24"/>
        </w:rPr>
        <w:commentReference w:id="40"/>
      </w:r>
      <w:r w:rsidRPr="008D1972">
        <w:rPr>
          <w:rFonts w:ascii="Times New Roman" w:hAnsi="Times New Roman" w:cs="Times New Roman"/>
          <w:sz w:val="24"/>
          <w:szCs w:val="24"/>
        </w:rPr>
        <w:t>government</w:t>
      </w:r>
      <w:commentRangeStart w:id="41"/>
      <w:r w:rsidRPr="008D1972">
        <w:rPr>
          <w:rFonts w:ascii="Times New Roman" w:hAnsi="Times New Roman" w:cs="Times New Roman"/>
          <w:sz w:val="24"/>
          <w:szCs w:val="24"/>
        </w:rPr>
        <w:t>. This approach makes theoretical sense, but monitoring is under-developed in the study's recommendations: no formal criteria exists for re-evaluating or reviewing at a scheduled interval.</w:t>
      </w:r>
      <w:commentRangeEnd w:id="41"/>
      <w:r w:rsidR="004E04FD" w:rsidRPr="008D1972">
        <w:rPr>
          <w:rStyle w:val="CommentReference"/>
          <w:rFonts w:ascii="Times New Roman" w:hAnsi="Times New Roman" w:cs="Times New Roman"/>
          <w:sz w:val="24"/>
          <w:szCs w:val="24"/>
        </w:rPr>
        <w:commentReference w:id="41"/>
      </w:r>
    </w:p>
    <w:p w14:paraId="56B85910" w14:textId="77777777" w:rsidR="004A335F" w:rsidRPr="008D1972" w:rsidRDefault="004A335F" w:rsidP="00D21C7B">
      <w:pPr>
        <w:spacing w:after="0" w:line="480" w:lineRule="auto"/>
        <w:ind w:firstLine="720"/>
        <w:rPr>
          <w:rFonts w:ascii="Times New Roman" w:hAnsi="Times New Roman" w:cs="Times New Roman"/>
          <w:sz w:val="24"/>
          <w:szCs w:val="24"/>
        </w:rPr>
      </w:pPr>
    </w:p>
    <w:p w14:paraId="793D9672" w14:textId="77777777" w:rsidR="004A335F" w:rsidRPr="008D1972" w:rsidRDefault="004A335F" w:rsidP="00D21C7B">
      <w:pPr>
        <w:pStyle w:val="Heading1"/>
        <w:rPr>
          <w:rFonts w:cs="Times New Roman"/>
          <w:szCs w:val="24"/>
        </w:rPr>
      </w:pPr>
      <w:r w:rsidRPr="008D1972">
        <w:rPr>
          <w:rFonts w:cs="Times New Roman"/>
          <w:szCs w:val="24"/>
        </w:rPr>
        <w:lastRenderedPageBreak/>
        <w:t>Strengths and Weaknesses</w:t>
      </w:r>
    </w:p>
    <w:p w14:paraId="4AC1993C" w14:textId="197EEF48" w:rsidR="004A335F" w:rsidRPr="008D1972" w:rsidRDefault="004A335F" w:rsidP="00D21C7B">
      <w:pPr>
        <w:spacing w:after="0" w:line="480" w:lineRule="auto"/>
        <w:ind w:firstLine="720"/>
        <w:rPr>
          <w:rFonts w:ascii="Times New Roman" w:hAnsi="Times New Roman" w:cs="Times New Roman"/>
          <w:sz w:val="24"/>
          <w:szCs w:val="24"/>
        </w:rPr>
      </w:pPr>
      <w:r w:rsidRPr="008D1972">
        <w:rPr>
          <w:rFonts w:ascii="Times New Roman" w:hAnsi="Times New Roman" w:cs="Times New Roman"/>
          <w:sz w:val="24"/>
          <w:szCs w:val="24"/>
        </w:rPr>
        <w:t>The study's main strength is its methodological integration: firstly</w:t>
      </w:r>
      <w:commentRangeStart w:id="42"/>
      <w:r w:rsidRPr="008D1972">
        <w:rPr>
          <w:rFonts w:ascii="Times New Roman" w:hAnsi="Times New Roman" w:cs="Times New Roman"/>
          <w:sz w:val="24"/>
          <w:szCs w:val="24"/>
        </w:rPr>
        <w:t xml:space="preserve"> </w:t>
      </w:r>
      <w:commentRangeEnd w:id="42"/>
      <w:r w:rsidR="001A2BBD" w:rsidRPr="008D1972">
        <w:rPr>
          <w:rStyle w:val="CommentReference"/>
          <w:rFonts w:ascii="Times New Roman" w:hAnsi="Times New Roman" w:cs="Times New Roman"/>
          <w:sz w:val="24"/>
          <w:szCs w:val="24"/>
        </w:rPr>
        <w:commentReference w:id="42"/>
      </w:r>
      <w:r w:rsidRPr="008D1972">
        <w:rPr>
          <w:rFonts w:ascii="Times New Roman" w:hAnsi="Times New Roman" w:cs="Times New Roman"/>
          <w:sz w:val="24"/>
          <w:szCs w:val="24"/>
        </w:rPr>
        <w:t>as a means of risk identification (Delphi), secondly</w:t>
      </w:r>
      <w:commentRangeStart w:id="43"/>
      <w:r w:rsidRPr="008D1972">
        <w:rPr>
          <w:rFonts w:ascii="Times New Roman" w:hAnsi="Times New Roman" w:cs="Times New Roman"/>
          <w:sz w:val="24"/>
          <w:szCs w:val="24"/>
        </w:rPr>
        <w:t xml:space="preserve"> </w:t>
      </w:r>
      <w:commentRangeEnd w:id="43"/>
      <w:r w:rsidR="001A2BBD" w:rsidRPr="008D1972">
        <w:rPr>
          <w:rStyle w:val="CommentReference"/>
          <w:rFonts w:ascii="Times New Roman" w:hAnsi="Times New Roman" w:cs="Times New Roman"/>
          <w:sz w:val="24"/>
          <w:szCs w:val="24"/>
        </w:rPr>
        <w:commentReference w:id="43"/>
      </w:r>
      <w:r w:rsidRPr="008D1972">
        <w:rPr>
          <w:rFonts w:ascii="Times New Roman" w:hAnsi="Times New Roman" w:cs="Times New Roman"/>
          <w:sz w:val="24"/>
          <w:szCs w:val="24"/>
        </w:rPr>
        <w:t>for a weighted ranking (AHP), and thirdly</w:t>
      </w:r>
      <w:commentRangeStart w:id="44"/>
      <w:r w:rsidRPr="008D1972">
        <w:rPr>
          <w:rFonts w:ascii="Times New Roman" w:hAnsi="Times New Roman" w:cs="Times New Roman"/>
          <w:sz w:val="24"/>
          <w:szCs w:val="24"/>
        </w:rPr>
        <w:t xml:space="preserve"> </w:t>
      </w:r>
      <w:commentRangeEnd w:id="44"/>
      <w:r w:rsidR="001A2BBD" w:rsidRPr="008D1972">
        <w:rPr>
          <w:rStyle w:val="CommentReference"/>
          <w:rFonts w:ascii="Times New Roman" w:hAnsi="Times New Roman" w:cs="Times New Roman"/>
          <w:sz w:val="24"/>
          <w:szCs w:val="24"/>
        </w:rPr>
        <w:commentReference w:id="44"/>
      </w:r>
      <w:r w:rsidRPr="008D1972">
        <w:rPr>
          <w:rFonts w:ascii="Times New Roman" w:hAnsi="Times New Roman" w:cs="Times New Roman"/>
          <w:sz w:val="24"/>
          <w:szCs w:val="24"/>
        </w:rPr>
        <w:t xml:space="preserve">the overall score calculation (FCE), resulting in a complex analytical product that is superior to the part </w:t>
      </w:r>
      <w:r w:rsidRPr="008D1972">
        <w:rPr>
          <w:rFonts w:ascii="Times New Roman" w:hAnsi="Times New Roman" w:cs="Times New Roman"/>
          <w:sz w:val="24"/>
          <w:szCs w:val="24"/>
        </w:rPr>
        <w:fldChar w:fldCharType="begin"/>
      </w:r>
      <w:r w:rsidRPr="008D1972">
        <w:rPr>
          <w:rFonts w:ascii="Times New Roman" w:hAnsi="Times New Roman" w:cs="Times New Roman"/>
          <w:sz w:val="24"/>
          <w:szCs w:val="24"/>
        </w:rPr>
        <w:instrText xml:space="preserve"> ADDIN ZOTERO_ITEM CSL_CITATION {"citationID":"vcRVxYeD","properties":{"unsorted":false,"formattedCitation":"(Li et al., 2023)","plainCitation":"(Li et al., 2023)","noteIndex":0},"citationItems":[{"id":17069,"uris":["http://zotero.org/users/local/tDp9ODyy/items/6I9WGVJH"],"itemData":{"id":17069,"type":"article-journal","abstract":"The COVID-19 pandemic is the biggest global health crisis in years. China is the first market primarily affected by the COVID-19 pandemic, with unprecedented lockdown measures bringing real estate and other economic activities to a standstill. This study has two objectives: (1) to identify the risks critical to the risk management of commercial real estate (CRE) development projects based on the project life cycle stages and (2) to identify the stages most affected by the COVID-19 pandemic and the risk factors at different stages. Three rounds of the Delphi study were conducted with nine experts involved in the construction project. The findings indicate that the construction, lease and sale phases are prone to significant risks. Additionally, the analytic hierarchy process (AHP) identified ‘health and safety risk’ as the most critical risk factor during the construction phase and ‘marketing and payback risk’ as the most critical risk factor during the lease and sale phase. This study enhanced the effectiveness of risk management practices for implementing CRE development projects in China.","container-title":"International Journal of Technology Management &amp; Sustainable Development","DOI":"10.1386/tmsd_00069_1","ISSN":"1474-2748, 2040-0551","issue":"COVID-19: The Emergence of Innovative Solutions","language":"en","page":"99-121","publisher":"Intellect","source":"intellectdiscover.com","title":"Managing risk in commercial property development projects during the COVID-19 pandemic: Evidence from China","title-short":"Managing risk in commercial property development projects during the COVID-19 pandemic","volume":"22","author":[{"family":"Li","given":"Zijing"},{"family":"Duong","given":"Linh Nguyen Khanh"},{"family":"Kumar","given":"Vikas"},{"family":"Kumari","given":"Archana"},{"family":"Binh","given":"Tu Van"}],"issued":{"date-parts":[["2023",5,1]]}}}],"schema":"https://github.com/citation-style-language/schema/raw/master/csl-citation.json"} </w:instrText>
      </w:r>
      <w:r w:rsidRPr="008D1972">
        <w:rPr>
          <w:rFonts w:ascii="Times New Roman" w:hAnsi="Times New Roman" w:cs="Times New Roman"/>
          <w:sz w:val="24"/>
          <w:szCs w:val="24"/>
        </w:rPr>
        <w:fldChar w:fldCharType="separate"/>
      </w:r>
      <w:r w:rsidRPr="008D1972">
        <w:rPr>
          <w:rFonts w:ascii="Times New Roman" w:hAnsi="Times New Roman" w:cs="Times New Roman"/>
          <w:sz w:val="24"/>
          <w:szCs w:val="24"/>
        </w:rPr>
        <w:t>(Li et al., 2023)</w:t>
      </w:r>
      <w:r w:rsidRPr="008D1972">
        <w:rPr>
          <w:rFonts w:ascii="Times New Roman" w:hAnsi="Times New Roman" w:cs="Times New Roman"/>
          <w:sz w:val="24"/>
          <w:szCs w:val="24"/>
        </w:rPr>
        <w:fldChar w:fldCharType="end"/>
      </w:r>
      <w:r w:rsidRPr="008D1972">
        <w:rPr>
          <w:rFonts w:ascii="Times New Roman" w:hAnsi="Times New Roman" w:cs="Times New Roman"/>
          <w:sz w:val="24"/>
          <w:szCs w:val="24"/>
        </w:rPr>
        <w:t xml:space="preserve">. The inclusion of the nine </w:t>
      </w:r>
      <w:commentRangeStart w:id="45"/>
      <w:r w:rsidRPr="008D1972">
        <w:rPr>
          <w:rFonts w:ascii="Times New Roman" w:hAnsi="Times New Roman" w:cs="Times New Roman"/>
          <w:sz w:val="24"/>
          <w:szCs w:val="24"/>
        </w:rPr>
        <w:t xml:space="preserve">panellists </w:t>
      </w:r>
      <w:commentRangeEnd w:id="45"/>
      <w:r w:rsidR="00E5210F" w:rsidRPr="008D1972">
        <w:rPr>
          <w:rStyle w:val="CommentReference"/>
          <w:rFonts w:ascii="Times New Roman" w:hAnsi="Times New Roman" w:cs="Times New Roman"/>
          <w:sz w:val="24"/>
          <w:szCs w:val="24"/>
        </w:rPr>
        <w:commentReference w:id="45"/>
      </w:r>
      <w:r w:rsidRPr="008D1972">
        <w:rPr>
          <w:rFonts w:ascii="Times New Roman" w:hAnsi="Times New Roman" w:cs="Times New Roman"/>
          <w:sz w:val="24"/>
          <w:szCs w:val="24"/>
        </w:rPr>
        <w:t xml:space="preserve">in the actual ZJ project greatly enhances the ecological validity of the risk inventory, which reflects real project conditions. The staging of risks facilitates temporally relevant and </w:t>
      </w:r>
      <w:commentRangeStart w:id="46"/>
      <w:r w:rsidRPr="008D1972">
        <w:rPr>
          <w:rFonts w:ascii="Times New Roman" w:hAnsi="Times New Roman" w:cs="Times New Roman"/>
          <w:sz w:val="24"/>
          <w:szCs w:val="24"/>
        </w:rPr>
        <w:t>contextualised</w:t>
      </w:r>
      <w:commentRangeEnd w:id="46"/>
      <w:r w:rsidR="00E5210F" w:rsidRPr="008D1972">
        <w:rPr>
          <w:rStyle w:val="CommentReference"/>
          <w:rFonts w:ascii="Times New Roman" w:hAnsi="Times New Roman" w:cs="Times New Roman"/>
          <w:sz w:val="24"/>
          <w:szCs w:val="24"/>
        </w:rPr>
        <w:commentReference w:id="46"/>
      </w:r>
      <w:r w:rsidRPr="008D1972">
        <w:rPr>
          <w:rFonts w:ascii="Times New Roman" w:hAnsi="Times New Roman" w:cs="Times New Roman"/>
          <w:sz w:val="24"/>
          <w:szCs w:val="24"/>
        </w:rPr>
        <w:t xml:space="preserve"> responses.</w:t>
      </w:r>
    </w:p>
    <w:p w14:paraId="7955DF77" w14:textId="7CBC934F" w:rsidR="004A335F" w:rsidRPr="008D1972" w:rsidRDefault="004A335F" w:rsidP="00D21C7B">
      <w:pPr>
        <w:spacing w:after="0" w:line="480" w:lineRule="auto"/>
        <w:ind w:firstLine="720"/>
        <w:rPr>
          <w:rFonts w:ascii="Times New Roman" w:hAnsi="Times New Roman" w:cs="Times New Roman"/>
          <w:sz w:val="24"/>
          <w:szCs w:val="24"/>
        </w:rPr>
      </w:pPr>
      <w:r w:rsidRPr="008D1972">
        <w:rPr>
          <w:rFonts w:ascii="Times New Roman" w:hAnsi="Times New Roman" w:cs="Times New Roman"/>
          <w:sz w:val="24"/>
          <w:szCs w:val="24"/>
        </w:rPr>
        <w:t xml:space="preserve">The study has constraints on its scope. The sample size (one project) limits its representativeness, as China's secondary cities have distinct regulatory, </w:t>
      </w:r>
      <w:commentRangeStart w:id="47"/>
      <w:r w:rsidRPr="008D1972">
        <w:rPr>
          <w:rFonts w:ascii="Times New Roman" w:hAnsi="Times New Roman" w:cs="Times New Roman"/>
          <w:sz w:val="24"/>
          <w:szCs w:val="24"/>
        </w:rPr>
        <w:t>labour,</w:t>
      </w:r>
      <w:commentRangeEnd w:id="47"/>
      <w:r w:rsidR="00E5210F" w:rsidRPr="008D1972">
        <w:rPr>
          <w:rStyle w:val="CommentReference"/>
          <w:rFonts w:ascii="Times New Roman" w:hAnsi="Times New Roman" w:cs="Times New Roman"/>
          <w:sz w:val="24"/>
          <w:szCs w:val="24"/>
        </w:rPr>
        <w:commentReference w:id="47"/>
      </w:r>
      <w:r w:rsidRPr="008D1972">
        <w:rPr>
          <w:rFonts w:ascii="Times New Roman" w:hAnsi="Times New Roman" w:cs="Times New Roman"/>
          <w:sz w:val="24"/>
          <w:szCs w:val="24"/>
        </w:rPr>
        <w:t xml:space="preserve"> and supply chain settings intermediate between Shanghai and mainland China's interior. The AHP risk analysis method assumes </w:t>
      </w:r>
      <w:commentRangeStart w:id="48"/>
      <w:r w:rsidRPr="008D1972">
        <w:rPr>
          <w:rFonts w:ascii="Times New Roman" w:hAnsi="Times New Roman" w:cs="Times New Roman"/>
          <w:sz w:val="24"/>
          <w:szCs w:val="24"/>
        </w:rPr>
        <w:t>judgement</w:t>
      </w:r>
      <w:commentRangeEnd w:id="48"/>
      <w:r w:rsidR="001A2BBD" w:rsidRPr="008D1972">
        <w:rPr>
          <w:rStyle w:val="CommentReference"/>
          <w:rFonts w:ascii="Times New Roman" w:hAnsi="Times New Roman" w:cs="Times New Roman"/>
          <w:sz w:val="24"/>
          <w:szCs w:val="24"/>
        </w:rPr>
        <w:commentReference w:id="48"/>
      </w:r>
      <w:r w:rsidRPr="008D1972">
        <w:rPr>
          <w:rFonts w:ascii="Times New Roman" w:hAnsi="Times New Roman" w:cs="Times New Roman"/>
          <w:sz w:val="24"/>
          <w:szCs w:val="24"/>
        </w:rPr>
        <w:t xml:space="preserve"> consistency between all pairwise comparisons, but with 16 sub-factors to form complex comparison matrices, there is potential for cognitive anchoring bias the study does not address or account for </w:t>
      </w:r>
      <w:r w:rsidRPr="008D1972">
        <w:rPr>
          <w:rFonts w:ascii="Times New Roman" w:hAnsi="Times New Roman" w:cs="Times New Roman"/>
          <w:sz w:val="24"/>
          <w:szCs w:val="24"/>
        </w:rPr>
        <w:fldChar w:fldCharType="begin"/>
      </w:r>
      <w:r w:rsidRPr="008D1972">
        <w:rPr>
          <w:rFonts w:ascii="Times New Roman" w:hAnsi="Times New Roman" w:cs="Times New Roman"/>
          <w:sz w:val="24"/>
          <w:szCs w:val="24"/>
        </w:rPr>
        <w:instrText xml:space="preserve"> ADDIN ZOTERO_ITEM CSL_CITATION {"citationID":"T2Y26Jxd","properties":{"unsorted":false,"formattedCitation":"(Li et al., 2023)","plainCitation":"(Li et al., 2023)","noteIndex":0},"citationItems":[{"id":17069,"uris":["http://zotero.org/users/local/tDp9ODyy/items/6I9WGVJH"],"itemData":{"id":17069,"type":"article-journal","abstract":"The COVID-19 pandemic is the biggest global health crisis in years. China is the first market primarily affected by the COVID-19 pandemic, with unprecedented lockdown measures bringing real estate and other economic activities to a standstill. This study has two objectives: (1) to identify the risks critical to the risk management of commercial real estate (CRE) development projects based on the project life cycle stages and (2) to identify the stages most affected by the COVID-19 pandemic and the risk factors at different stages. Three rounds of the Delphi study were conducted with nine experts involved in the construction project. The findings indicate that the construction, lease and sale phases are prone to significant risks. Additionally, the analytic hierarchy process (AHP) identified ‘health and safety risk’ as the most critical risk factor during the construction phase and ‘marketing and payback risk’ as the most critical risk factor during the lease and sale phase. This study enhanced the effectiveness of risk management practices for implementing CRE development projects in China.","container-title":"International Journal of Technology Management &amp; Sustainable Development","DOI":"10.1386/tmsd_00069_1","ISSN":"1474-2748, 2040-0551","issue":"COVID-19: The Emergence of Innovative Solutions","language":"en","page":"99-121","publisher":"Intellect","source":"intellectdiscover.com","title":"Managing risk in commercial property development projects during the COVID-19 pandemic: Evidence from China","title-short":"Managing risk in commercial property development projects during the COVID-19 pandemic","volume":"22","author":[{"family":"Li","given":"Zijing"},{"family":"Duong","given":"Linh Nguyen Khanh"},{"family":"Kumar","given":"Vikas"},{"family":"Kumari","given":"Archana"},{"family":"Binh","given":"Tu Van"}],"issued":{"date-parts":[["2023",5,1]]}}}],"schema":"https://github.com/citation-style-language/schema/raw/master/csl-citation.json"} </w:instrText>
      </w:r>
      <w:r w:rsidRPr="008D1972">
        <w:rPr>
          <w:rFonts w:ascii="Times New Roman" w:hAnsi="Times New Roman" w:cs="Times New Roman"/>
          <w:sz w:val="24"/>
          <w:szCs w:val="24"/>
        </w:rPr>
        <w:fldChar w:fldCharType="separate"/>
      </w:r>
      <w:r w:rsidRPr="008D1972">
        <w:rPr>
          <w:rFonts w:ascii="Times New Roman" w:hAnsi="Times New Roman" w:cs="Times New Roman"/>
          <w:sz w:val="24"/>
          <w:szCs w:val="24"/>
        </w:rPr>
        <w:t>(Li et al., 2023)</w:t>
      </w:r>
      <w:r w:rsidRPr="008D1972">
        <w:rPr>
          <w:rFonts w:ascii="Times New Roman" w:hAnsi="Times New Roman" w:cs="Times New Roman"/>
          <w:sz w:val="24"/>
          <w:szCs w:val="24"/>
        </w:rPr>
        <w:fldChar w:fldCharType="end"/>
      </w:r>
      <w:r w:rsidRPr="008D1972">
        <w:rPr>
          <w:rFonts w:ascii="Times New Roman" w:hAnsi="Times New Roman" w:cs="Times New Roman"/>
          <w:sz w:val="24"/>
          <w:szCs w:val="24"/>
        </w:rPr>
        <w:t xml:space="preserve">. Risk of network security (R45) had the lowest weight in the model at 0.0298, even though evidence shows that </w:t>
      </w:r>
      <w:commentRangeStart w:id="49"/>
      <w:r w:rsidRPr="008D1972">
        <w:rPr>
          <w:rFonts w:ascii="Times New Roman" w:hAnsi="Times New Roman" w:cs="Times New Roman"/>
          <w:sz w:val="24"/>
          <w:szCs w:val="24"/>
        </w:rPr>
        <w:t>digitalisation</w:t>
      </w:r>
      <w:commentRangeEnd w:id="49"/>
      <w:r w:rsidR="00E5210F" w:rsidRPr="008D1972">
        <w:rPr>
          <w:rStyle w:val="CommentReference"/>
          <w:rFonts w:ascii="Times New Roman" w:hAnsi="Times New Roman" w:cs="Times New Roman"/>
          <w:sz w:val="24"/>
          <w:szCs w:val="24"/>
        </w:rPr>
        <w:commentReference w:id="49"/>
      </w:r>
      <w:r w:rsidRPr="008D1972">
        <w:rPr>
          <w:rFonts w:ascii="Times New Roman" w:hAnsi="Times New Roman" w:cs="Times New Roman"/>
          <w:sz w:val="24"/>
          <w:szCs w:val="24"/>
        </w:rPr>
        <w:t xml:space="preserve"> in response to the pandemic created new cybersecurity vulnerabilities </w:t>
      </w:r>
      <w:commentRangeStart w:id="50"/>
      <w:r w:rsidRPr="008D1972">
        <w:rPr>
          <w:rFonts w:ascii="Times New Roman" w:hAnsi="Times New Roman" w:cs="Times New Roman"/>
          <w:sz w:val="24"/>
          <w:szCs w:val="24"/>
        </w:rPr>
        <w:t>into</w:t>
      </w:r>
      <w:commentRangeEnd w:id="50"/>
      <w:r w:rsidR="001A2BBD" w:rsidRPr="008D1972">
        <w:rPr>
          <w:rStyle w:val="CommentReference"/>
          <w:rFonts w:ascii="Times New Roman" w:hAnsi="Times New Roman" w:cs="Times New Roman"/>
          <w:sz w:val="24"/>
          <w:szCs w:val="24"/>
        </w:rPr>
        <w:commentReference w:id="50"/>
      </w:r>
      <w:r w:rsidRPr="008D1972">
        <w:rPr>
          <w:rFonts w:ascii="Times New Roman" w:hAnsi="Times New Roman" w:cs="Times New Roman"/>
          <w:sz w:val="24"/>
          <w:szCs w:val="24"/>
        </w:rPr>
        <w:t xml:space="preserve"> real estate operations that existing frameworks were not structured to account for </w:t>
      </w:r>
      <w:r w:rsidR="00EF0999" w:rsidRPr="008D1972">
        <w:rPr>
          <w:rFonts w:ascii="Times New Roman" w:hAnsi="Times New Roman" w:cs="Times New Roman"/>
          <w:sz w:val="24"/>
          <w:szCs w:val="24"/>
        </w:rPr>
        <w:fldChar w:fldCharType="begin"/>
      </w:r>
      <w:r w:rsidR="00EF0999" w:rsidRPr="008D1972">
        <w:rPr>
          <w:rFonts w:ascii="Times New Roman" w:hAnsi="Times New Roman" w:cs="Times New Roman"/>
          <w:sz w:val="24"/>
          <w:szCs w:val="24"/>
        </w:rPr>
        <w:instrText xml:space="preserve"> ADDIN ZOTERO_ITEM CSL_CITATION {"citationID":"u7eIDNnX","properties":{"unsorted":false,"formattedCitation":"(Correia et al., 2022)","plainCitation":"(Correia et al., 2022)","noteIndex":0},"citationItems":[{"id":17076,"uris":["http://zotero.org/users/local/tDp9ODyy/items/AR6F7VIU"],"itemData":{"id":17076,"type":"article-journal","abstract":"Smart cities evolved to include citizens as co-creators, while Industry 4.0 envisioned personalized supply chain models arranged according to consumers’ wishes. Both concepts strove to focus on citizens, impacting transport and manufacturing processes, enhancing social development and promoting sustainability. However, it lacks a clear understanding of their influence on each other and related connection points in the literature. This article conducts a rigorous systematic literature review to make an in-depth analysis of the relationship between smart cities and Industry 4.0. Quantitative and qualitative analyses are performed. The connection points found are technology, process, people and planning. Their relationship is almost unanimous. Smart cities are influenced by Industry 4.0. The evidence of smart city influence on Industry 4.0 does not exist separately from that of Industry 4.0 on smart cities. Although several authors smoothly refer to the influence that smart cities may have in the Industry, it lacks a greater understanding. Furthermore, this study develops two lines of discussion based on the findings and advocates the future need to reflect on how the evolution of smart city concept will impact the development of the industry.","container-title":"International Journal of Technology Management &amp; Sustainable Development","DOI":"10.1386/tmsd_00051_1","journalAbbreviation":"International Journal of Technology Management &amp; Sustainable Development","page":"37-66","source":"ResearchGate","title":"Study and analysis of the relationship between smart cities and Industry 4.0: A systematic literature review","title-short":"Study and analysis of the relationship between smart cities and Industry 4.0","volume":"21","author":[{"family":"Correia","given":"Diogo"},{"family":"Teixeira","given":"Leonor"},{"family":"Marques","given":"João"}],"issued":{"date-parts":[["2022",3,1]]}}}],"schema":"https://github.com/citation-style-language/schema/raw/master/csl-citation.json"} </w:instrText>
      </w:r>
      <w:r w:rsidR="00EF0999" w:rsidRPr="008D1972">
        <w:rPr>
          <w:rFonts w:ascii="Times New Roman" w:hAnsi="Times New Roman" w:cs="Times New Roman"/>
          <w:sz w:val="24"/>
          <w:szCs w:val="24"/>
        </w:rPr>
        <w:fldChar w:fldCharType="separate"/>
      </w:r>
      <w:r w:rsidR="00EF0999" w:rsidRPr="008D1972">
        <w:rPr>
          <w:rFonts w:ascii="Times New Roman" w:hAnsi="Times New Roman" w:cs="Times New Roman"/>
          <w:sz w:val="24"/>
          <w:szCs w:val="24"/>
        </w:rPr>
        <w:t>(Correia et al., 2022)</w:t>
      </w:r>
      <w:r w:rsidR="00EF0999" w:rsidRPr="008D1972">
        <w:rPr>
          <w:rFonts w:ascii="Times New Roman" w:hAnsi="Times New Roman" w:cs="Times New Roman"/>
          <w:sz w:val="24"/>
          <w:szCs w:val="24"/>
        </w:rPr>
        <w:fldChar w:fldCharType="end"/>
      </w:r>
      <w:r w:rsidRPr="008D1972">
        <w:rPr>
          <w:rFonts w:ascii="Times New Roman" w:hAnsi="Times New Roman" w:cs="Times New Roman"/>
          <w:sz w:val="24"/>
          <w:szCs w:val="24"/>
        </w:rPr>
        <w:t>. This collectively suggests the study's ranking of risk is internally consistent, but represents a more limited empirical phenomenon than its claims.</w:t>
      </w:r>
    </w:p>
    <w:p w14:paraId="6E6AE0AD" w14:textId="77777777" w:rsidR="004A335F" w:rsidRPr="008D1972" w:rsidRDefault="004A335F" w:rsidP="00D21C7B">
      <w:pPr>
        <w:pStyle w:val="Heading1"/>
        <w:rPr>
          <w:rFonts w:cs="Times New Roman"/>
          <w:szCs w:val="24"/>
        </w:rPr>
      </w:pPr>
      <w:r w:rsidRPr="008D1972">
        <w:rPr>
          <w:rFonts w:cs="Times New Roman"/>
          <w:szCs w:val="24"/>
        </w:rPr>
        <w:t>Recommended Risk Response Strategies</w:t>
      </w:r>
    </w:p>
    <w:p w14:paraId="153A2C3C" w14:textId="28D2416D" w:rsidR="004A335F" w:rsidRPr="008D1972" w:rsidRDefault="004A335F" w:rsidP="00D21C7B">
      <w:pPr>
        <w:spacing w:after="0" w:line="480" w:lineRule="auto"/>
        <w:ind w:firstLine="720"/>
        <w:rPr>
          <w:rFonts w:ascii="Times New Roman" w:hAnsi="Times New Roman" w:cs="Times New Roman"/>
          <w:sz w:val="24"/>
          <w:szCs w:val="24"/>
        </w:rPr>
      </w:pPr>
      <w:r w:rsidRPr="008D1972">
        <w:rPr>
          <w:rFonts w:ascii="Times New Roman" w:hAnsi="Times New Roman" w:cs="Times New Roman"/>
          <w:sz w:val="24"/>
          <w:szCs w:val="24"/>
        </w:rPr>
        <w:t xml:space="preserve">Three recommendations are made. First, a dynamic quarterly risk reassessment protocol should be established to replace single-cycle static Delphi assessments, either with proactively reassessment points based on confirmations of government policy announcements or variations to milestones during construction. </w:t>
      </w:r>
      <w:r w:rsidRPr="008D1972">
        <w:rPr>
          <w:rFonts w:ascii="Times New Roman" w:hAnsi="Times New Roman" w:cs="Times New Roman"/>
          <w:sz w:val="24"/>
          <w:szCs w:val="24"/>
        </w:rPr>
        <w:fldChar w:fldCharType="begin"/>
      </w:r>
      <w:r w:rsidRPr="008D1972">
        <w:rPr>
          <w:rFonts w:ascii="Times New Roman" w:hAnsi="Times New Roman" w:cs="Times New Roman"/>
          <w:sz w:val="24"/>
          <w:szCs w:val="24"/>
        </w:rPr>
        <w:instrText xml:space="preserve"> ADDIN ZOTERO_ITEM CSL_CITATION {"citationID":"qzdaWXeJ","properties":{"unsorted":false,"formattedCitation":"(Ivanov, 2020)","plainCitation":"(Ivanov, 2020)","noteIndex":0},"citationItems":[{"id":17063,"uris":["http://zotero.org/users/local/tDp9ODyy/items/47IPWAZX"],"itemData":{"id":17063,"type":"article-journal","abstract":"Epidemic outbreaks are a special case of supply chain (SC) risks which is distinctively characterized by a long-term disruption existence, disruption propagations (i.e., the ripple effect), and high uncertainty. We present the results of a simulation study that opens some new research tensions on the impact of COVID-19 (SARS-CoV-2) on the global SCs. First, we articulate the specific features that frame epidemic outbreaks as a unique type of SC disruption risks. Second, we demonstrate how simulation-based methodology can be used to examine and predict the impacts of epidemic outbreaks on the SC performance using the example of coronavirus COVID-19 and anyLogistix simulation and optimization software. We offer an analysis for observing and predicting both short-term and long-term impacts of epidemic outbreaks on the SCs along with managerial insights. A set of sensitivity experiments for different scenarios allows illustrating the model’s behavior and its value for decision-makers. The major observation from the simulation experiments is that the timing of the closing and opening of the facilities at different echelons might become a major factor that determines the epidemic outbreak impact on the SC performance rather than an upstream disruption duration or the speed of epidemic propagation. Other important factors are lead-time, speed of epidemic propagation, and the upstream and downstream disruption durations in the SC. The outcomes of this research can be used by decision-makers to predict the operative and long-term impacts of epidemic outbreaks on the SCs and develop pandemic SC plans. Our approach can also help to identify the successful and wrong elements of risk mitigation/preparedness and recovery policies in case of epidemic outbreaks. The paper is concluded by summarizing the most important insights and outlining future research agenda.","container-title":"Transportation Research Part E: Logistics and Transportation Review","DOI":"10.1016/j.tre.2020.101922","ISSN":"1366-5545","journalAbbreviation":"Transportation Research Part E: Logistics and Transportation Review","page":"101922","source":"ScienceDirect","title":"Predicting the impacts of epidemic outbreaks on global supply chains: A simulation-based analysis on the coronavirus outbreak (COVID-19/SARS-CoV-2) case","title-short":"Predicting the impacts of epidemic outbreaks on global supply chains","volume":"136","author":[{"family":"Ivanov","given":"Dmitry"}],"issued":{"date-parts":[["2020",4,1]]}}}],"schema":"https://github.com/citation-style-language/schema/raw/master/csl-citation.json"} </w:instrText>
      </w:r>
      <w:r w:rsidRPr="008D1972">
        <w:rPr>
          <w:rFonts w:ascii="Times New Roman" w:hAnsi="Times New Roman" w:cs="Times New Roman"/>
          <w:sz w:val="24"/>
          <w:szCs w:val="24"/>
        </w:rPr>
        <w:fldChar w:fldCharType="separate"/>
      </w:r>
      <w:r w:rsidRPr="008D1972">
        <w:rPr>
          <w:rFonts w:ascii="Times New Roman" w:hAnsi="Times New Roman" w:cs="Times New Roman"/>
          <w:sz w:val="24"/>
          <w:szCs w:val="24"/>
        </w:rPr>
        <w:t>Ivanov (2020)</w:t>
      </w:r>
      <w:r w:rsidRPr="008D1972">
        <w:rPr>
          <w:rFonts w:ascii="Times New Roman" w:hAnsi="Times New Roman" w:cs="Times New Roman"/>
          <w:sz w:val="24"/>
          <w:szCs w:val="24"/>
        </w:rPr>
        <w:fldChar w:fldCharType="end"/>
      </w:r>
      <w:r w:rsidRPr="008D1972">
        <w:rPr>
          <w:rFonts w:ascii="Times New Roman" w:hAnsi="Times New Roman" w:cs="Times New Roman"/>
          <w:sz w:val="24"/>
          <w:szCs w:val="24"/>
        </w:rPr>
        <w:t xml:space="preserve"> shows that dynamic risk governance protocols </w:t>
      </w:r>
      <w:r w:rsidRPr="008D1972">
        <w:rPr>
          <w:rFonts w:ascii="Times New Roman" w:hAnsi="Times New Roman" w:cs="Times New Roman"/>
          <w:sz w:val="24"/>
          <w:szCs w:val="24"/>
        </w:rPr>
        <w:lastRenderedPageBreak/>
        <w:t>reduce</w:t>
      </w:r>
      <w:commentRangeStart w:id="51"/>
      <w:r w:rsidRPr="008D1972">
        <w:rPr>
          <w:rFonts w:ascii="Times New Roman" w:hAnsi="Times New Roman" w:cs="Times New Roman"/>
          <w:sz w:val="24"/>
          <w:szCs w:val="24"/>
        </w:rPr>
        <w:t xml:space="preserve"> </w:t>
      </w:r>
      <w:commentRangeEnd w:id="51"/>
      <w:r w:rsidR="00346A74" w:rsidRPr="008D1972">
        <w:rPr>
          <w:rStyle w:val="CommentReference"/>
          <w:rFonts w:ascii="Times New Roman" w:hAnsi="Times New Roman" w:cs="Times New Roman"/>
          <w:sz w:val="24"/>
          <w:szCs w:val="24"/>
        </w:rPr>
        <w:commentReference w:id="51"/>
      </w:r>
      <w:r w:rsidRPr="008D1972">
        <w:rPr>
          <w:rFonts w:ascii="Times New Roman" w:hAnsi="Times New Roman" w:cs="Times New Roman"/>
          <w:sz w:val="24"/>
          <w:szCs w:val="24"/>
        </w:rPr>
        <w:t xml:space="preserve">cost of project disruption in supply chain projects subject to random spontaneous events much better than static risk registers developed at project </w:t>
      </w:r>
      <w:commentRangeStart w:id="52"/>
      <w:r w:rsidRPr="008D1972">
        <w:rPr>
          <w:rFonts w:ascii="Times New Roman" w:hAnsi="Times New Roman" w:cs="Times New Roman"/>
          <w:sz w:val="24"/>
          <w:szCs w:val="24"/>
        </w:rPr>
        <w:t>launching</w:t>
      </w:r>
      <w:commentRangeEnd w:id="52"/>
      <w:r w:rsidR="00346A74" w:rsidRPr="008D1972">
        <w:rPr>
          <w:rStyle w:val="CommentReference"/>
          <w:rFonts w:ascii="Times New Roman" w:hAnsi="Times New Roman" w:cs="Times New Roman"/>
          <w:sz w:val="24"/>
          <w:szCs w:val="24"/>
        </w:rPr>
        <w:commentReference w:id="52"/>
      </w:r>
      <w:r w:rsidRPr="008D1972">
        <w:rPr>
          <w:rFonts w:ascii="Times New Roman" w:hAnsi="Times New Roman" w:cs="Times New Roman"/>
          <w:sz w:val="24"/>
          <w:szCs w:val="24"/>
        </w:rPr>
        <w:t>. Second, a f</w:t>
      </w:r>
      <w:commentRangeStart w:id="53"/>
      <w:r w:rsidRPr="008D1972">
        <w:rPr>
          <w:rFonts w:ascii="Times New Roman" w:hAnsi="Times New Roman" w:cs="Times New Roman"/>
          <w:sz w:val="24"/>
          <w:szCs w:val="24"/>
        </w:rPr>
        <w:t>ormalised</w:t>
      </w:r>
      <w:commentRangeEnd w:id="53"/>
      <w:r w:rsidR="00346A74" w:rsidRPr="008D1972">
        <w:rPr>
          <w:rStyle w:val="CommentReference"/>
          <w:rFonts w:ascii="Times New Roman" w:hAnsi="Times New Roman" w:cs="Times New Roman"/>
          <w:sz w:val="24"/>
          <w:szCs w:val="24"/>
        </w:rPr>
        <w:commentReference w:id="53"/>
      </w:r>
      <w:r w:rsidRPr="008D1972">
        <w:rPr>
          <w:rFonts w:ascii="Times New Roman" w:hAnsi="Times New Roman" w:cs="Times New Roman"/>
          <w:sz w:val="24"/>
          <w:szCs w:val="24"/>
        </w:rPr>
        <w:t xml:space="preserve"> tenant risk-sharing covenant negotiated at the </w:t>
      </w:r>
      <w:commentRangeStart w:id="54"/>
      <w:r w:rsidRPr="008D1972">
        <w:rPr>
          <w:rFonts w:ascii="Times New Roman" w:hAnsi="Times New Roman" w:cs="Times New Roman"/>
          <w:sz w:val="24"/>
          <w:szCs w:val="24"/>
        </w:rPr>
        <w:t>inception</w:t>
      </w:r>
      <w:commentRangeEnd w:id="54"/>
      <w:r w:rsidR="00346A74" w:rsidRPr="008D1972">
        <w:rPr>
          <w:rStyle w:val="CommentReference"/>
          <w:rFonts w:ascii="Times New Roman" w:hAnsi="Times New Roman" w:cs="Times New Roman"/>
          <w:sz w:val="24"/>
          <w:szCs w:val="24"/>
        </w:rPr>
        <w:commentReference w:id="54"/>
      </w:r>
      <w:r w:rsidRPr="008D1972">
        <w:rPr>
          <w:rFonts w:ascii="Times New Roman" w:hAnsi="Times New Roman" w:cs="Times New Roman"/>
          <w:sz w:val="24"/>
          <w:szCs w:val="24"/>
        </w:rPr>
        <w:t xml:space="preserve"> of</w:t>
      </w:r>
      <w:commentRangeStart w:id="55"/>
      <w:r w:rsidRPr="008D1972">
        <w:rPr>
          <w:rFonts w:ascii="Times New Roman" w:hAnsi="Times New Roman" w:cs="Times New Roman"/>
          <w:sz w:val="24"/>
          <w:szCs w:val="24"/>
        </w:rPr>
        <w:t xml:space="preserve"> </w:t>
      </w:r>
      <w:commentRangeEnd w:id="55"/>
      <w:r w:rsidR="00346A74" w:rsidRPr="008D1972">
        <w:rPr>
          <w:rStyle w:val="CommentReference"/>
          <w:rFonts w:ascii="Times New Roman" w:hAnsi="Times New Roman" w:cs="Times New Roman"/>
          <w:sz w:val="24"/>
          <w:szCs w:val="24"/>
        </w:rPr>
        <w:commentReference w:id="55"/>
      </w:r>
      <w:r w:rsidRPr="008D1972">
        <w:rPr>
          <w:rFonts w:ascii="Times New Roman" w:hAnsi="Times New Roman" w:cs="Times New Roman"/>
          <w:sz w:val="24"/>
          <w:szCs w:val="24"/>
        </w:rPr>
        <w:t>lease rather than ex-post during potential disputes should pre-</w:t>
      </w:r>
      <w:commentRangeStart w:id="56"/>
      <w:r w:rsidRPr="008D1972">
        <w:rPr>
          <w:rFonts w:ascii="Times New Roman" w:hAnsi="Times New Roman" w:cs="Times New Roman"/>
          <w:sz w:val="24"/>
          <w:szCs w:val="24"/>
        </w:rPr>
        <w:t>agree responsive and forward-looking revenue-share levels</w:t>
      </w:r>
      <w:commentRangeEnd w:id="56"/>
      <w:r w:rsidR="00346A74" w:rsidRPr="008D1972">
        <w:rPr>
          <w:rStyle w:val="CommentReference"/>
          <w:rFonts w:ascii="Times New Roman" w:hAnsi="Times New Roman" w:cs="Times New Roman"/>
          <w:sz w:val="24"/>
          <w:szCs w:val="24"/>
        </w:rPr>
        <w:commentReference w:id="56"/>
      </w:r>
      <w:r w:rsidRPr="008D1972">
        <w:rPr>
          <w:rFonts w:ascii="Times New Roman" w:hAnsi="Times New Roman" w:cs="Times New Roman"/>
          <w:sz w:val="24"/>
          <w:szCs w:val="24"/>
        </w:rPr>
        <w:t>, deferral</w:t>
      </w:r>
      <w:commentRangeStart w:id="57"/>
      <w:r w:rsidRPr="008D1972">
        <w:rPr>
          <w:rFonts w:ascii="Times New Roman" w:hAnsi="Times New Roman" w:cs="Times New Roman"/>
          <w:sz w:val="24"/>
          <w:szCs w:val="24"/>
        </w:rPr>
        <w:t xml:space="preserve"> </w:t>
      </w:r>
      <w:commentRangeEnd w:id="57"/>
      <w:r w:rsidR="00346A74" w:rsidRPr="008D1972">
        <w:rPr>
          <w:rStyle w:val="CommentReference"/>
          <w:rFonts w:ascii="Times New Roman" w:hAnsi="Times New Roman" w:cs="Times New Roman"/>
          <w:sz w:val="24"/>
          <w:szCs w:val="24"/>
        </w:rPr>
        <w:commentReference w:id="57"/>
      </w:r>
      <w:r w:rsidRPr="008D1972">
        <w:rPr>
          <w:rFonts w:ascii="Times New Roman" w:hAnsi="Times New Roman" w:cs="Times New Roman"/>
          <w:sz w:val="24"/>
          <w:szCs w:val="24"/>
        </w:rPr>
        <w:t xml:space="preserve">and exit points associated with turnover audit records. </w:t>
      </w:r>
      <w:r w:rsidRPr="008D1972">
        <w:rPr>
          <w:rFonts w:ascii="Times New Roman" w:hAnsi="Times New Roman" w:cs="Times New Roman"/>
          <w:sz w:val="24"/>
          <w:szCs w:val="24"/>
        </w:rPr>
        <w:fldChar w:fldCharType="begin"/>
      </w:r>
      <w:r w:rsidRPr="008D1972">
        <w:rPr>
          <w:rFonts w:ascii="Times New Roman" w:hAnsi="Times New Roman" w:cs="Times New Roman"/>
          <w:sz w:val="24"/>
          <w:szCs w:val="24"/>
        </w:rPr>
        <w:instrText xml:space="preserve"> ADDIN ZOTERO_ITEM CSL_CITATION {"citationID":"SHBlxnwc","properties":{"unsorted":false,"formattedCitation":"(Nanda et al., 2021)","plainCitation":"(Nanda et al., 2021)","noteIndex":0},"citationItems":[{"id":17072,"uris":["http://zotero.org/users/local/tDp9ODyy/items/IUD6MNC5"],"itemData":{"id":17072,"type":"article-journal","abstract":"This paper aims to explore the impact of the COVID-19 pandemic on retail real estate and high street landscape through acceleration of e-commerce and digitalization. The retail business have been evolving over the past several decades, accentuated by the evolution and development of digital technologies. Almost all parts of the world have witnessed the changes in consumer behavior, the nature of retail, and reshaping of the high street landscape due to the e-commerce revolution and continued expansion. Especially due to the COVID-19 pandemic, the retail platforms powered by digital technology had to be adapted quickly, and it is expected to continue to support this change as consumers and retailers adjust to new normalities. Moreover, retail real estate is intricately linked with the retail sector dynamics. While lockdown and social distance rules have devastating impacts on “traditional” retail property sector, it may accelerate the evolution process of multi-channel retail and the channel integration role of physical stores and thus, bring in transformations in urban-retail landscape. It is not necessarily leading to an end of high street stores, but it may have a significant impact on retail real estate business. There remains a lack of understanding of how these changes may pan out with a rigorous academic investigation. To close this knowledge gap, we analyze both the strategy event data of a range of UK retailers as well as the insights from interviews with retail asset manager and landlords using a mixed-method approach. The findings indicate an urgent need for physical shops to reposition the functions of their multi-channel business. Our analysis provide significant insights and highlight several implications for retailers, landlords and, also policy-making units dealing with urban regeneration and local economic development in the post-COVID-19 world.","container-title":"Journal of Urban Management","DOI":"10.1016/j.jum.2021.04.001","ISSN":"2226-5856","issue":"2","journalAbbreviation":"Journal of Urban Management","page":"110-124","source":"ScienceDirect","title":"How would the COVID-19 pandemic reshape retail real estate and high streets through acceleration of E-commerce and digitalization?","volume":"10","author":[{"family":"Nanda","given":"Anupam"},{"family":"Xu","given":"Yishuang"},{"family":"Zhang","given":"Fangchen"}],"issued":{"date-parts":[["2021",6,1]]}}}],"schema":"https://github.com/citation-style-language/schema/raw/master/csl-citation.json"} </w:instrText>
      </w:r>
      <w:r w:rsidRPr="008D1972">
        <w:rPr>
          <w:rFonts w:ascii="Times New Roman" w:hAnsi="Times New Roman" w:cs="Times New Roman"/>
          <w:sz w:val="24"/>
          <w:szCs w:val="24"/>
        </w:rPr>
        <w:fldChar w:fldCharType="separate"/>
      </w:r>
      <w:r w:rsidRPr="008D1972">
        <w:rPr>
          <w:rFonts w:ascii="Times New Roman" w:hAnsi="Times New Roman" w:cs="Times New Roman"/>
          <w:sz w:val="24"/>
          <w:szCs w:val="24"/>
        </w:rPr>
        <w:t>Nanda et al. (2021)</w:t>
      </w:r>
      <w:r w:rsidRPr="008D1972">
        <w:rPr>
          <w:rFonts w:ascii="Times New Roman" w:hAnsi="Times New Roman" w:cs="Times New Roman"/>
          <w:sz w:val="24"/>
          <w:szCs w:val="24"/>
        </w:rPr>
        <w:fldChar w:fldCharType="end"/>
      </w:r>
      <w:r w:rsidRPr="008D1972">
        <w:rPr>
          <w:rFonts w:ascii="Times New Roman" w:hAnsi="Times New Roman" w:cs="Times New Roman"/>
          <w:sz w:val="24"/>
          <w:szCs w:val="24"/>
        </w:rPr>
        <w:t xml:space="preserve"> demonstrate that hybrid revenue-share leases respectively reduce the incidence of conflict-based renegotiation in the multi-tenant, commercial space over a period of persistent uncertainty regarding the market for demand, and are a structurally better tool than discretionary rent relief. Third, the IoT-enabled real-time monitoring of the procurement process should be embedded in the contracting company's supply chain, with material delivery monitoring at shipper level, replacing supplier estimates. This allows for anticipatory rather than reactive schedule and cost-risk responses</w:t>
      </w:r>
      <w:commentRangeStart w:id="58"/>
      <w:r w:rsidRPr="008D1972">
        <w:rPr>
          <w:rFonts w:ascii="Times New Roman" w:hAnsi="Times New Roman" w:cs="Times New Roman"/>
          <w:sz w:val="24"/>
          <w:szCs w:val="24"/>
        </w:rPr>
        <w:t xml:space="preserve">. </w:t>
      </w:r>
      <w:commentRangeEnd w:id="58"/>
      <w:r w:rsidR="001D18B3" w:rsidRPr="008D1972">
        <w:rPr>
          <w:rStyle w:val="CommentReference"/>
          <w:rFonts w:ascii="Times New Roman" w:hAnsi="Times New Roman" w:cs="Times New Roman"/>
          <w:sz w:val="24"/>
          <w:szCs w:val="24"/>
        </w:rPr>
        <w:commentReference w:id="58"/>
      </w:r>
    </w:p>
    <w:p w14:paraId="596D5CD0" w14:textId="4965F73C" w:rsidR="006A136A" w:rsidRPr="008D1972" w:rsidRDefault="006A136A" w:rsidP="00D21C7B">
      <w:pPr>
        <w:spacing w:after="0" w:line="480" w:lineRule="auto"/>
        <w:ind w:firstLine="720"/>
        <w:rPr>
          <w:rFonts w:ascii="Times New Roman" w:hAnsi="Times New Roman" w:cs="Times New Roman"/>
          <w:sz w:val="24"/>
          <w:szCs w:val="24"/>
        </w:rPr>
      </w:pPr>
    </w:p>
    <w:p w14:paraId="5D8E65FF" w14:textId="6FB23526" w:rsidR="00F53E10" w:rsidRPr="008D1972" w:rsidRDefault="00F53E10" w:rsidP="00D21C7B">
      <w:pPr>
        <w:spacing w:after="0" w:line="480" w:lineRule="auto"/>
        <w:ind w:firstLine="720"/>
        <w:rPr>
          <w:rFonts w:ascii="Times New Roman" w:hAnsi="Times New Roman" w:cs="Times New Roman"/>
          <w:sz w:val="24"/>
          <w:szCs w:val="24"/>
        </w:rPr>
      </w:pPr>
    </w:p>
    <w:p w14:paraId="76CAE0EF" w14:textId="77777777" w:rsidR="00981176" w:rsidRPr="008D1972" w:rsidRDefault="00981176" w:rsidP="00D21C7B">
      <w:pPr>
        <w:spacing w:after="0" w:line="480" w:lineRule="auto"/>
        <w:rPr>
          <w:rFonts w:ascii="Times New Roman" w:eastAsiaTheme="majorEastAsia" w:hAnsi="Times New Roman" w:cs="Times New Roman"/>
          <w:b/>
          <w:sz w:val="24"/>
          <w:szCs w:val="24"/>
        </w:rPr>
      </w:pPr>
      <w:r w:rsidRPr="008D1972">
        <w:rPr>
          <w:rFonts w:ascii="Times New Roman" w:hAnsi="Times New Roman" w:cs="Times New Roman"/>
          <w:sz w:val="24"/>
          <w:szCs w:val="24"/>
        </w:rPr>
        <w:br w:type="page"/>
      </w:r>
    </w:p>
    <w:p w14:paraId="3AEBDD5A" w14:textId="33DB153F" w:rsidR="00F53E10" w:rsidRPr="008D1972" w:rsidRDefault="00F53E10" w:rsidP="00D21C7B">
      <w:pPr>
        <w:pStyle w:val="Heading1"/>
        <w:rPr>
          <w:rFonts w:cs="Times New Roman"/>
          <w:szCs w:val="24"/>
        </w:rPr>
      </w:pPr>
      <w:r w:rsidRPr="008D1972">
        <w:rPr>
          <w:rFonts w:cs="Times New Roman"/>
          <w:szCs w:val="24"/>
        </w:rPr>
        <w:lastRenderedPageBreak/>
        <w:t>References</w:t>
      </w:r>
    </w:p>
    <w:p w14:paraId="28C11894" w14:textId="36C38C09" w:rsidR="00EF0999" w:rsidRPr="008D1972" w:rsidRDefault="00F53E10" w:rsidP="00D21C7B">
      <w:pPr>
        <w:pStyle w:val="Bibliography"/>
        <w:rPr>
          <w:rFonts w:ascii="Times New Roman" w:hAnsi="Times New Roman" w:cs="Times New Roman"/>
          <w:sz w:val="24"/>
          <w:szCs w:val="24"/>
        </w:rPr>
      </w:pPr>
      <w:r w:rsidRPr="008D1972">
        <w:rPr>
          <w:rFonts w:ascii="Times New Roman" w:hAnsi="Times New Roman" w:cs="Times New Roman"/>
          <w:sz w:val="24"/>
          <w:szCs w:val="24"/>
        </w:rPr>
        <w:fldChar w:fldCharType="begin"/>
      </w:r>
      <w:r w:rsidR="00486B21" w:rsidRPr="008D1972">
        <w:rPr>
          <w:rFonts w:ascii="Times New Roman" w:hAnsi="Times New Roman" w:cs="Times New Roman"/>
          <w:sz w:val="24"/>
          <w:szCs w:val="24"/>
        </w:rPr>
        <w:instrText xml:space="preserve"> ADDIN ZOTERO_BIBL {"uncited":[],"omitted":[],"custom":[]} CSL_BIBLIOGRAPHY </w:instrText>
      </w:r>
      <w:r w:rsidRPr="008D1972">
        <w:rPr>
          <w:rFonts w:ascii="Times New Roman" w:hAnsi="Times New Roman" w:cs="Times New Roman"/>
          <w:sz w:val="24"/>
          <w:szCs w:val="24"/>
        </w:rPr>
        <w:fldChar w:fldCharType="separate"/>
      </w:r>
      <w:r w:rsidR="00EF0999" w:rsidRPr="008D1972">
        <w:rPr>
          <w:rFonts w:ascii="Times New Roman" w:hAnsi="Times New Roman" w:cs="Times New Roman"/>
          <w:sz w:val="24"/>
          <w:szCs w:val="24"/>
        </w:rPr>
        <w:t xml:space="preserve">Correia, D., Teixeira, L., &amp; Marques, J. (2022). Study and analysis of the relationship between smart cities and Industry 4.0: A systematic literature review. </w:t>
      </w:r>
      <w:r w:rsidR="00EF0999" w:rsidRPr="008D1972">
        <w:rPr>
          <w:rFonts w:ascii="Times New Roman" w:hAnsi="Times New Roman" w:cs="Times New Roman"/>
          <w:i/>
          <w:iCs/>
          <w:sz w:val="24"/>
          <w:szCs w:val="24"/>
        </w:rPr>
        <w:t>International Journal of Technology Management &amp; Sustainable Development</w:t>
      </w:r>
      <w:r w:rsidR="00EF0999" w:rsidRPr="008D1972">
        <w:rPr>
          <w:rFonts w:ascii="Times New Roman" w:hAnsi="Times New Roman" w:cs="Times New Roman"/>
          <w:sz w:val="24"/>
          <w:szCs w:val="24"/>
        </w:rPr>
        <w:t xml:space="preserve">, </w:t>
      </w:r>
      <w:r w:rsidR="00EF0999" w:rsidRPr="008D1972">
        <w:rPr>
          <w:rFonts w:ascii="Times New Roman" w:hAnsi="Times New Roman" w:cs="Times New Roman"/>
          <w:i/>
          <w:iCs/>
          <w:sz w:val="24"/>
          <w:szCs w:val="24"/>
        </w:rPr>
        <w:t>21</w:t>
      </w:r>
      <w:r w:rsidR="00EF0999" w:rsidRPr="008D1972">
        <w:rPr>
          <w:rFonts w:ascii="Times New Roman" w:hAnsi="Times New Roman" w:cs="Times New Roman"/>
          <w:sz w:val="24"/>
          <w:szCs w:val="24"/>
        </w:rPr>
        <w:t xml:space="preserve">, 37–66. </w:t>
      </w:r>
      <w:hyperlink r:id="rId11" w:history="1">
        <w:r w:rsidR="00EF0999" w:rsidRPr="008D1972">
          <w:rPr>
            <w:rStyle w:val="Hyperlink"/>
            <w:rFonts w:ascii="Times New Roman" w:hAnsi="Times New Roman" w:cs="Times New Roman"/>
            <w:sz w:val="24"/>
            <w:szCs w:val="24"/>
          </w:rPr>
          <w:t>https://doi.org/10.1386/tmsd_00051_1</w:t>
        </w:r>
      </w:hyperlink>
    </w:p>
    <w:p w14:paraId="12D8AE60" w14:textId="12463140" w:rsidR="00EF0999" w:rsidRPr="008D1972" w:rsidRDefault="00EF0999" w:rsidP="00D21C7B">
      <w:pPr>
        <w:pStyle w:val="Bibliography"/>
        <w:rPr>
          <w:rFonts w:ascii="Times New Roman" w:hAnsi="Times New Roman" w:cs="Times New Roman"/>
          <w:sz w:val="24"/>
          <w:szCs w:val="24"/>
        </w:rPr>
      </w:pPr>
      <w:r w:rsidRPr="008D1972">
        <w:rPr>
          <w:rFonts w:ascii="Times New Roman" w:hAnsi="Times New Roman" w:cs="Times New Roman"/>
          <w:sz w:val="24"/>
          <w:szCs w:val="24"/>
        </w:rPr>
        <w:t xml:space="preserve">Ivanov, D. (2020). Predicting the impacts of epidemic outbreaks on global supply chains: A simulation-based analysis on the coronavirus outbreak (COVID-19/SARS-CoV-2) case. </w:t>
      </w:r>
      <w:r w:rsidRPr="008D1972">
        <w:rPr>
          <w:rFonts w:ascii="Times New Roman" w:hAnsi="Times New Roman" w:cs="Times New Roman"/>
          <w:i/>
          <w:iCs/>
          <w:sz w:val="24"/>
          <w:szCs w:val="24"/>
        </w:rPr>
        <w:t>Transportation Research Part E: Logistics and Transportation Review</w:t>
      </w:r>
      <w:r w:rsidRPr="008D1972">
        <w:rPr>
          <w:rFonts w:ascii="Times New Roman" w:hAnsi="Times New Roman" w:cs="Times New Roman"/>
          <w:sz w:val="24"/>
          <w:szCs w:val="24"/>
        </w:rPr>
        <w:t xml:space="preserve">, </w:t>
      </w:r>
      <w:r w:rsidRPr="008D1972">
        <w:rPr>
          <w:rFonts w:ascii="Times New Roman" w:hAnsi="Times New Roman" w:cs="Times New Roman"/>
          <w:i/>
          <w:iCs/>
          <w:sz w:val="24"/>
          <w:szCs w:val="24"/>
        </w:rPr>
        <w:t>136</w:t>
      </w:r>
      <w:r w:rsidRPr="008D1972">
        <w:rPr>
          <w:rFonts w:ascii="Times New Roman" w:hAnsi="Times New Roman" w:cs="Times New Roman"/>
          <w:sz w:val="24"/>
          <w:szCs w:val="24"/>
        </w:rPr>
        <w:t xml:space="preserve">, 101922. </w:t>
      </w:r>
      <w:hyperlink r:id="rId12" w:history="1">
        <w:r w:rsidRPr="008D1972">
          <w:rPr>
            <w:rStyle w:val="Hyperlink"/>
            <w:rFonts w:ascii="Times New Roman" w:hAnsi="Times New Roman" w:cs="Times New Roman"/>
            <w:sz w:val="24"/>
            <w:szCs w:val="24"/>
          </w:rPr>
          <w:t>https://doi.org/10.1016/j.tre.2020.101922</w:t>
        </w:r>
      </w:hyperlink>
    </w:p>
    <w:p w14:paraId="1DA64CBA" w14:textId="490EFFA5" w:rsidR="00EF0999" w:rsidRPr="008D1972" w:rsidRDefault="00EF0999" w:rsidP="00D21C7B">
      <w:pPr>
        <w:pStyle w:val="Bibliography"/>
        <w:rPr>
          <w:rFonts w:ascii="Times New Roman" w:hAnsi="Times New Roman" w:cs="Times New Roman"/>
          <w:sz w:val="24"/>
          <w:szCs w:val="24"/>
        </w:rPr>
      </w:pPr>
      <w:r w:rsidRPr="008D1972">
        <w:rPr>
          <w:rFonts w:ascii="Times New Roman" w:hAnsi="Times New Roman" w:cs="Times New Roman"/>
          <w:sz w:val="24"/>
          <w:szCs w:val="24"/>
        </w:rPr>
        <w:t xml:space="preserve">King, T. L., &amp; Lamontagne, A. D. (2021). COVID-19 and suicide risk in the construction sector: Preparing for a perfect storm. </w:t>
      </w:r>
      <w:r w:rsidRPr="008D1972">
        <w:rPr>
          <w:rFonts w:ascii="Times New Roman" w:hAnsi="Times New Roman" w:cs="Times New Roman"/>
          <w:i/>
          <w:iCs/>
          <w:sz w:val="24"/>
          <w:szCs w:val="24"/>
        </w:rPr>
        <w:t>Scandinavian Journal of Public Health</w:t>
      </w:r>
      <w:r w:rsidRPr="008D1972">
        <w:rPr>
          <w:rFonts w:ascii="Times New Roman" w:hAnsi="Times New Roman" w:cs="Times New Roman"/>
          <w:sz w:val="24"/>
          <w:szCs w:val="24"/>
        </w:rPr>
        <w:t xml:space="preserve">, </w:t>
      </w:r>
      <w:r w:rsidRPr="008D1972">
        <w:rPr>
          <w:rFonts w:ascii="Times New Roman" w:hAnsi="Times New Roman" w:cs="Times New Roman"/>
          <w:i/>
          <w:iCs/>
          <w:sz w:val="24"/>
          <w:szCs w:val="24"/>
        </w:rPr>
        <w:t>49</w:t>
      </w:r>
      <w:r w:rsidRPr="008D1972">
        <w:rPr>
          <w:rFonts w:ascii="Times New Roman" w:hAnsi="Times New Roman" w:cs="Times New Roman"/>
          <w:sz w:val="24"/>
          <w:szCs w:val="24"/>
        </w:rPr>
        <w:t xml:space="preserve">(7), 774–778. </w:t>
      </w:r>
      <w:hyperlink r:id="rId13" w:history="1">
        <w:r w:rsidRPr="008D1972">
          <w:rPr>
            <w:rStyle w:val="Hyperlink"/>
            <w:rFonts w:ascii="Times New Roman" w:hAnsi="Times New Roman" w:cs="Times New Roman"/>
            <w:sz w:val="24"/>
            <w:szCs w:val="24"/>
          </w:rPr>
          <w:t>https://doi.org/10.1177/140349482</w:t>
        </w:r>
        <w:r w:rsidRPr="008D1972">
          <w:rPr>
            <w:rStyle w:val="Hyperlink"/>
            <w:rFonts w:ascii="Times New Roman" w:hAnsi="Times New Roman" w:cs="Times New Roman"/>
            <w:sz w:val="24"/>
            <w:szCs w:val="24"/>
          </w:rPr>
          <w:t>1</w:t>
        </w:r>
        <w:r w:rsidRPr="008D1972">
          <w:rPr>
            <w:rStyle w:val="Hyperlink"/>
            <w:rFonts w:ascii="Times New Roman" w:hAnsi="Times New Roman" w:cs="Times New Roman"/>
            <w:sz w:val="24"/>
            <w:szCs w:val="24"/>
          </w:rPr>
          <w:t>993707</w:t>
        </w:r>
      </w:hyperlink>
    </w:p>
    <w:p w14:paraId="0FDA49B9" w14:textId="0B5EC2FB" w:rsidR="00EF0999" w:rsidRPr="008D1972" w:rsidRDefault="00EF0999" w:rsidP="00D21C7B">
      <w:pPr>
        <w:pStyle w:val="Bibliography"/>
        <w:rPr>
          <w:rFonts w:ascii="Times New Roman" w:hAnsi="Times New Roman" w:cs="Times New Roman"/>
          <w:sz w:val="24"/>
          <w:szCs w:val="24"/>
        </w:rPr>
      </w:pPr>
      <w:r w:rsidRPr="008D1972">
        <w:rPr>
          <w:rFonts w:ascii="Times New Roman" w:hAnsi="Times New Roman" w:cs="Times New Roman"/>
          <w:sz w:val="24"/>
          <w:szCs w:val="24"/>
        </w:rPr>
        <w:t xml:space="preserve">Li, Z., Duong, L. N. K., Kumar, V., Kumari, A., &amp; Binh, T. V. (2023). Managing risk in commercial property development projects during the COVID-19 pandemic: Evidence from China. </w:t>
      </w:r>
      <w:r w:rsidRPr="008D1972">
        <w:rPr>
          <w:rFonts w:ascii="Times New Roman" w:hAnsi="Times New Roman" w:cs="Times New Roman"/>
          <w:i/>
          <w:iCs/>
          <w:sz w:val="24"/>
          <w:szCs w:val="24"/>
        </w:rPr>
        <w:t>International Journal of Technology Management &amp; Sustainable Development</w:t>
      </w:r>
      <w:r w:rsidRPr="008D1972">
        <w:rPr>
          <w:rFonts w:ascii="Times New Roman" w:hAnsi="Times New Roman" w:cs="Times New Roman"/>
          <w:sz w:val="24"/>
          <w:szCs w:val="24"/>
        </w:rPr>
        <w:t xml:space="preserve">, </w:t>
      </w:r>
      <w:r w:rsidRPr="008D1972">
        <w:rPr>
          <w:rFonts w:ascii="Times New Roman" w:hAnsi="Times New Roman" w:cs="Times New Roman"/>
          <w:i/>
          <w:iCs/>
          <w:sz w:val="24"/>
          <w:szCs w:val="24"/>
        </w:rPr>
        <w:t>22</w:t>
      </w:r>
      <w:r w:rsidRPr="008D1972">
        <w:rPr>
          <w:rFonts w:ascii="Times New Roman" w:hAnsi="Times New Roman" w:cs="Times New Roman"/>
          <w:sz w:val="24"/>
          <w:szCs w:val="24"/>
        </w:rPr>
        <w:t xml:space="preserve">(COVID-19: The Emergence of Innovative Solutions), 99–121. </w:t>
      </w:r>
      <w:hyperlink r:id="rId14" w:history="1">
        <w:r w:rsidRPr="008D1972">
          <w:rPr>
            <w:rStyle w:val="Hyperlink"/>
            <w:rFonts w:ascii="Times New Roman" w:hAnsi="Times New Roman" w:cs="Times New Roman"/>
            <w:sz w:val="24"/>
            <w:szCs w:val="24"/>
          </w:rPr>
          <w:t>https://doi.org/10.1386/tmsd_00069_1</w:t>
        </w:r>
      </w:hyperlink>
    </w:p>
    <w:p w14:paraId="444B02FE" w14:textId="72D28D0C" w:rsidR="00EF0999" w:rsidRPr="008D1972" w:rsidRDefault="00EF0999" w:rsidP="00D21C7B">
      <w:pPr>
        <w:pStyle w:val="Bibliography"/>
        <w:rPr>
          <w:rFonts w:ascii="Times New Roman" w:hAnsi="Times New Roman" w:cs="Times New Roman"/>
          <w:sz w:val="24"/>
          <w:szCs w:val="24"/>
        </w:rPr>
      </w:pPr>
      <w:r w:rsidRPr="008D1972">
        <w:rPr>
          <w:rFonts w:ascii="Times New Roman" w:hAnsi="Times New Roman" w:cs="Times New Roman"/>
          <w:sz w:val="24"/>
          <w:szCs w:val="24"/>
        </w:rPr>
        <w:t xml:space="preserve">Nanda, A., Xu, Y., &amp; Zhang, F. (2021). How would the COVID-19 pandemic reshape retail real estate and high streets through acceleration of E-commerce and digitalization? </w:t>
      </w:r>
      <w:r w:rsidRPr="008D1972">
        <w:rPr>
          <w:rFonts w:ascii="Times New Roman" w:hAnsi="Times New Roman" w:cs="Times New Roman"/>
          <w:i/>
          <w:iCs/>
          <w:sz w:val="24"/>
          <w:szCs w:val="24"/>
        </w:rPr>
        <w:t>Journal of Urban Management</w:t>
      </w:r>
      <w:r w:rsidRPr="008D1972">
        <w:rPr>
          <w:rFonts w:ascii="Times New Roman" w:hAnsi="Times New Roman" w:cs="Times New Roman"/>
          <w:sz w:val="24"/>
          <w:szCs w:val="24"/>
        </w:rPr>
        <w:t xml:space="preserve">, </w:t>
      </w:r>
      <w:r w:rsidRPr="008D1972">
        <w:rPr>
          <w:rFonts w:ascii="Times New Roman" w:hAnsi="Times New Roman" w:cs="Times New Roman"/>
          <w:i/>
          <w:iCs/>
          <w:sz w:val="24"/>
          <w:szCs w:val="24"/>
        </w:rPr>
        <w:t>10</w:t>
      </w:r>
      <w:r w:rsidRPr="008D1972">
        <w:rPr>
          <w:rFonts w:ascii="Times New Roman" w:hAnsi="Times New Roman" w:cs="Times New Roman"/>
          <w:sz w:val="24"/>
          <w:szCs w:val="24"/>
        </w:rPr>
        <w:t xml:space="preserve">(2), 110–124. </w:t>
      </w:r>
      <w:hyperlink r:id="rId15" w:history="1">
        <w:r w:rsidRPr="008D1972">
          <w:rPr>
            <w:rStyle w:val="Hyperlink"/>
            <w:rFonts w:ascii="Times New Roman" w:hAnsi="Times New Roman" w:cs="Times New Roman"/>
            <w:sz w:val="24"/>
            <w:szCs w:val="24"/>
          </w:rPr>
          <w:t>https://doi.org/10.1016/j.jum.2021.04.001</w:t>
        </w:r>
      </w:hyperlink>
    </w:p>
    <w:p w14:paraId="0CBE9A60" w14:textId="710F9217" w:rsidR="00EF0999" w:rsidRPr="008D1972" w:rsidRDefault="00EF0999" w:rsidP="00D21C7B">
      <w:pPr>
        <w:pStyle w:val="Bibliography"/>
        <w:rPr>
          <w:rFonts w:ascii="Times New Roman" w:hAnsi="Times New Roman" w:cs="Times New Roman"/>
          <w:sz w:val="24"/>
          <w:szCs w:val="24"/>
        </w:rPr>
      </w:pPr>
      <w:r w:rsidRPr="008D1972">
        <w:rPr>
          <w:rFonts w:ascii="Times New Roman" w:hAnsi="Times New Roman" w:cs="Times New Roman"/>
          <w:sz w:val="24"/>
          <w:szCs w:val="24"/>
        </w:rPr>
        <w:t xml:space="preserve">Perera, B. A. K. S., Rameezdeen, R., Chileshe, N., &amp; Hosseini, M. R. (2014). Enhancing the effectiveness of risk management practices in Sri Lankan road construction projects: A </w:t>
      </w:r>
      <w:r w:rsidRPr="008D1972">
        <w:rPr>
          <w:rFonts w:ascii="Times New Roman" w:hAnsi="Times New Roman" w:cs="Times New Roman"/>
          <w:sz w:val="24"/>
          <w:szCs w:val="24"/>
        </w:rPr>
        <w:lastRenderedPageBreak/>
        <w:t xml:space="preserve">Delphi approach. </w:t>
      </w:r>
      <w:r w:rsidRPr="008D1972">
        <w:rPr>
          <w:rFonts w:ascii="Times New Roman" w:hAnsi="Times New Roman" w:cs="Times New Roman"/>
          <w:i/>
          <w:iCs/>
          <w:sz w:val="24"/>
          <w:szCs w:val="24"/>
        </w:rPr>
        <w:t>International Journal of Construction Management</w:t>
      </w:r>
      <w:r w:rsidRPr="008D1972">
        <w:rPr>
          <w:rFonts w:ascii="Times New Roman" w:hAnsi="Times New Roman" w:cs="Times New Roman"/>
          <w:sz w:val="24"/>
          <w:szCs w:val="24"/>
        </w:rPr>
        <w:t xml:space="preserve">, </w:t>
      </w:r>
      <w:r w:rsidRPr="008D1972">
        <w:rPr>
          <w:rFonts w:ascii="Times New Roman" w:hAnsi="Times New Roman" w:cs="Times New Roman"/>
          <w:i/>
          <w:iCs/>
          <w:sz w:val="24"/>
          <w:szCs w:val="24"/>
        </w:rPr>
        <w:t>14</w:t>
      </w:r>
      <w:r w:rsidRPr="008D1972">
        <w:rPr>
          <w:rFonts w:ascii="Times New Roman" w:hAnsi="Times New Roman" w:cs="Times New Roman"/>
          <w:sz w:val="24"/>
          <w:szCs w:val="24"/>
        </w:rPr>
        <w:t xml:space="preserve">(1), 1–14. </w:t>
      </w:r>
      <w:hyperlink r:id="rId16" w:history="1">
        <w:r w:rsidRPr="008D1972">
          <w:rPr>
            <w:rStyle w:val="Hyperlink"/>
            <w:rFonts w:ascii="Times New Roman" w:hAnsi="Times New Roman" w:cs="Times New Roman"/>
            <w:sz w:val="24"/>
            <w:szCs w:val="24"/>
          </w:rPr>
          <w:t>https://doi.org/10.1080/15623599.2013.875271</w:t>
        </w:r>
      </w:hyperlink>
    </w:p>
    <w:p w14:paraId="5F6BCA38" w14:textId="77777777" w:rsidR="00D21C7B" w:rsidRPr="008D1972" w:rsidRDefault="00F53E10" w:rsidP="00D21C7B">
      <w:pPr>
        <w:pStyle w:val="Heading1"/>
        <w:rPr>
          <w:rFonts w:cs="Times New Roman"/>
          <w:szCs w:val="24"/>
        </w:rPr>
      </w:pPr>
      <w:r w:rsidRPr="008D1972">
        <w:rPr>
          <w:rFonts w:cs="Times New Roman"/>
          <w:szCs w:val="24"/>
        </w:rPr>
        <w:fldChar w:fldCharType="end"/>
      </w:r>
    </w:p>
    <w:p w14:paraId="53240A4F" w14:textId="77777777" w:rsidR="00D21C7B" w:rsidRPr="008D1972" w:rsidRDefault="00D21C7B">
      <w:pPr>
        <w:rPr>
          <w:rFonts w:ascii="Times New Roman" w:eastAsiaTheme="majorEastAsia" w:hAnsi="Times New Roman" w:cs="Times New Roman"/>
          <w:b/>
          <w:sz w:val="24"/>
          <w:szCs w:val="24"/>
        </w:rPr>
      </w:pPr>
      <w:r w:rsidRPr="008D1972">
        <w:rPr>
          <w:rFonts w:cs="Times New Roman"/>
          <w:szCs w:val="24"/>
        </w:rPr>
        <w:br w:type="page"/>
      </w:r>
    </w:p>
    <w:p w14:paraId="03915055" w14:textId="4539BD68" w:rsidR="00D21C7B" w:rsidRPr="008D1972" w:rsidRDefault="00D21C7B" w:rsidP="00D21C7B">
      <w:pPr>
        <w:pStyle w:val="Heading1"/>
      </w:pPr>
      <w:r w:rsidRPr="008D1972">
        <w:lastRenderedPageBreak/>
        <w:t xml:space="preserve"> Appendix: Risk Categorisation</w:t>
      </w:r>
    </w:p>
    <w:tbl>
      <w:tblPr>
        <w:tblStyle w:val="TableGrid"/>
        <w:tblW w:w="9452" w:type="dxa"/>
        <w:tblLook w:val="04A0" w:firstRow="1" w:lastRow="0" w:firstColumn="1" w:lastColumn="0" w:noHBand="0" w:noVBand="1"/>
      </w:tblPr>
      <w:tblGrid>
        <w:gridCol w:w="1085"/>
        <w:gridCol w:w="4413"/>
        <w:gridCol w:w="3954"/>
      </w:tblGrid>
      <w:tr w:rsidR="00D21C7B" w:rsidRPr="008D1972" w14:paraId="2AD5E041" w14:textId="77777777" w:rsidTr="00D515AA">
        <w:trPr>
          <w:trHeight w:val="549"/>
        </w:trPr>
        <w:tc>
          <w:tcPr>
            <w:tcW w:w="0" w:type="auto"/>
            <w:hideMark/>
          </w:tcPr>
          <w:p w14:paraId="78C37E7A" w14:textId="77777777" w:rsidR="00D21C7B" w:rsidRPr="008D1972" w:rsidRDefault="00D21C7B" w:rsidP="00D515AA">
            <w:pPr>
              <w:spacing w:line="276" w:lineRule="auto"/>
              <w:rPr>
                <w:rFonts w:ascii="Times New Roman" w:hAnsi="Times New Roman" w:cs="Times New Roman"/>
                <w:b/>
                <w:bCs/>
                <w:sz w:val="24"/>
                <w:szCs w:val="24"/>
              </w:rPr>
            </w:pPr>
            <w:r w:rsidRPr="008D1972">
              <w:rPr>
                <w:rFonts w:ascii="Times New Roman" w:hAnsi="Times New Roman" w:cs="Times New Roman"/>
                <w:b/>
                <w:bCs/>
                <w:sz w:val="24"/>
                <w:szCs w:val="24"/>
              </w:rPr>
              <w:t>Code</w:t>
            </w:r>
          </w:p>
        </w:tc>
        <w:tc>
          <w:tcPr>
            <w:tcW w:w="0" w:type="auto"/>
            <w:hideMark/>
          </w:tcPr>
          <w:p w14:paraId="7ED817F6" w14:textId="77777777" w:rsidR="00D21C7B" w:rsidRPr="008D1972" w:rsidRDefault="00D21C7B" w:rsidP="00D515AA">
            <w:pPr>
              <w:spacing w:line="276" w:lineRule="auto"/>
              <w:rPr>
                <w:rFonts w:ascii="Times New Roman" w:hAnsi="Times New Roman" w:cs="Times New Roman"/>
                <w:b/>
                <w:bCs/>
                <w:sz w:val="24"/>
                <w:szCs w:val="24"/>
              </w:rPr>
            </w:pPr>
            <w:r w:rsidRPr="008D1972">
              <w:rPr>
                <w:rFonts w:ascii="Times New Roman" w:hAnsi="Times New Roman" w:cs="Times New Roman"/>
                <w:b/>
                <w:bCs/>
                <w:sz w:val="24"/>
                <w:szCs w:val="24"/>
              </w:rPr>
              <w:t>Risk Factor</w:t>
            </w:r>
          </w:p>
        </w:tc>
        <w:tc>
          <w:tcPr>
            <w:tcW w:w="0" w:type="auto"/>
            <w:hideMark/>
          </w:tcPr>
          <w:p w14:paraId="431C2C22" w14:textId="77777777" w:rsidR="00D21C7B" w:rsidRPr="008D1972" w:rsidRDefault="00D21C7B" w:rsidP="00D515AA">
            <w:pPr>
              <w:spacing w:line="276" w:lineRule="auto"/>
              <w:rPr>
                <w:rFonts w:ascii="Times New Roman" w:hAnsi="Times New Roman" w:cs="Times New Roman"/>
                <w:b/>
                <w:bCs/>
                <w:sz w:val="24"/>
                <w:szCs w:val="24"/>
              </w:rPr>
            </w:pPr>
            <w:r w:rsidRPr="008D1972">
              <w:rPr>
                <w:rFonts w:ascii="Times New Roman" w:hAnsi="Times New Roman" w:cs="Times New Roman"/>
                <w:b/>
                <w:bCs/>
                <w:sz w:val="24"/>
                <w:szCs w:val="24"/>
              </w:rPr>
              <w:t>Category</w:t>
            </w:r>
          </w:p>
        </w:tc>
      </w:tr>
      <w:tr w:rsidR="00D21C7B" w:rsidRPr="008D1972" w14:paraId="51950138" w14:textId="77777777" w:rsidTr="00D515AA">
        <w:trPr>
          <w:trHeight w:val="549"/>
        </w:trPr>
        <w:tc>
          <w:tcPr>
            <w:tcW w:w="0" w:type="auto"/>
            <w:hideMark/>
          </w:tcPr>
          <w:p w14:paraId="6A08F786"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R11</w:t>
            </w:r>
          </w:p>
        </w:tc>
        <w:tc>
          <w:tcPr>
            <w:tcW w:w="0" w:type="auto"/>
            <w:hideMark/>
          </w:tcPr>
          <w:p w14:paraId="750CCEAE"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Policy risk</w:t>
            </w:r>
          </w:p>
        </w:tc>
        <w:tc>
          <w:tcPr>
            <w:tcW w:w="0" w:type="auto"/>
            <w:hideMark/>
          </w:tcPr>
          <w:p w14:paraId="0761E4D9"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External – Regulatory</w:t>
            </w:r>
          </w:p>
        </w:tc>
      </w:tr>
      <w:tr w:rsidR="00D21C7B" w:rsidRPr="008D1972" w14:paraId="775AA194" w14:textId="77777777" w:rsidTr="00D515AA">
        <w:trPr>
          <w:trHeight w:val="537"/>
        </w:trPr>
        <w:tc>
          <w:tcPr>
            <w:tcW w:w="0" w:type="auto"/>
            <w:hideMark/>
          </w:tcPr>
          <w:p w14:paraId="5C5C9783"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R12</w:t>
            </w:r>
          </w:p>
        </w:tc>
        <w:tc>
          <w:tcPr>
            <w:tcW w:w="0" w:type="auto"/>
            <w:hideMark/>
          </w:tcPr>
          <w:p w14:paraId="672D5215"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Development timing risk</w:t>
            </w:r>
          </w:p>
        </w:tc>
        <w:tc>
          <w:tcPr>
            <w:tcW w:w="0" w:type="auto"/>
            <w:hideMark/>
          </w:tcPr>
          <w:p w14:paraId="50B2D322"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External – Market</w:t>
            </w:r>
          </w:p>
        </w:tc>
      </w:tr>
      <w:tr w:rsidR="00D21C7B" w:rsidRPr="008D1972" w14:paraId="1E7C03C2" w14:textId="77777777" w:rsidTr="00D515AA">
        <w:trPr>
          <w:trHeight w:val="549"/>
        </w:trPr>
        <w:tc>
          <w:tcPr>
            <w:tcW w:w="0" w:type="auto"/>
            <w:hideMark/>
          </w:tcPr>
          <w:p w14:paraId="6AF5AFFC"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R13</w:t>
            </w:r>
          </w:p>
        </w:tc>
        <w:tc>
          <w:tcPr>
            <w:tcW w:w="0" w:type="auto"/>
            <w:hideMark/>
          </w:tcPr>
          <w:p w14:paraId="6E6D5540"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Investment property type risk</w:t>
            </w:r>
          </w:p>
        </w:tc>
        <w:tc>
          <w:tcPr>
            <w:tcW w:w="0" w:type="auto"/>
            <w:hideMark/>
          </w:tcPr>
          <w:p w14:paraId="736C5815"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External – Market</w:t>
            </w:r>
          </w:p>
        </w:tc>
      </w:tr>
      <w:tr w:rsidR="00D21C7B" w:rsidRPr="008D1972" w14:paraId="1170E863" w14:textId="77777777" w:rsidTr="00D515AA">
        <w:trPr>
          <w:trHeight w:val="549"/>
        </w:trPr>
        <w:tc>
          <w:tcPr>
            <w:tcW w:w="0" w:type="auto"/>
            <w:hideMark/>
          </w:tcPr>
          <w:p w14:paraId="16A8F322"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R21</w:t>
            </w:r>
          </w:p>
        </w:tc>
        <w:tc>
          <w:tcPr>
            <w:tcW w:w="0" w:type="auto"/>
            <w:hideMark/>
          </w:tcPr>
          <w:p w14:paraId="6A842808"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Capital risk</w:t>
            </w:r>
          </w:p>
        </w:tc>
        <w:tc>
          <w:tcPr>
            <w:tcW w:w="0" w:type="auto"/>
            <w:hideMark/>
          </w:tcPr>
          <w:p w14:paraId="6B009C16"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Financial</w:t>
            </w:r>
          </w:p>
        </w:tc>
      </w:tr>
      <w:tr w:rsidR="00D21C7B" w:rsidRPr="008D1972" w14:paraId="2A198AA9" w14:textId="77777777" w:rsidTr="00D515AA">
        <w:trPr>
          <w:trHeight w:val="549"/>
        </w:trPr>
        <w:tc>
          <w:tcPr>
            <w:tcW w:w="0" w:type="auto"/>
            <w:hideMark/>
          </w:tcPr>
          <w:p w14:paraId="338FE320"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R22</w:t>
            </w:r>
          </w:p>
        </w:tc>
        <w:tc>
          <w:tcPr>
            <w:tcW w:w="0" w:type="auto"/>
            <w:hideMark/>
          </w:tcPr>
          <w:p w14:paraId="32090F34"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Bidding risk</w:t>
            </w:r>
          </w:p>
        </w:tc>
        <w:tc>
          <w:tcPr>
            <w:tcW w:w="0" w:type="auto"/>
            <w:hideMark/>
          </w:tcPr>
          <w:p w14:paraId="209909CC"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Procurement</w:t>
            </w:r>
          </w:p>
        </w:tc>
      </w:tr>
      <w:tr w:rsidR="00D21C7B" w:rsidRPr="008D1972" w14:paraId="7A51A487" w14:textId="77777777" w:rsidTr="00D515AA">
        <w:trPr>
          <w:trHeight w:val="549"/>
        </w:trPr>
        <w:tc>
          <w:tcPr>
            <w:tcW w:w="0" w:type="auto"/>
            <w:hideMark/>
          </w:tcPr>
          <w:p w14:paraId="30E94E09"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R23</w:t>
            </w:r>
          </w:p>
        </w:tc>
        <w:tc>
          <w:tcPr>
            <w:tcW w:w="0" w:type="auto"/>
            <w:hideMark/>
          </w:tcPr>
          <w:p w14:paraId="0163848B"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Design risk</w:t>
            </w:r>
          </w:p>
        </w:tc>
        <w:tc>
          <w:tcPr>
            <w:tcW w:w="0" w:type="auto"/>
            <w:hideMark/>
          </w:tcPr>
          <w:p w14:paraId="61E070BB"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Technical</w:t>
            </w:r>
          </w:p>
        </w:tc>
      </w:tr>
      <w:tr w:rsidR="00D21C7B" w:rsidRPr="008D1972" w14:paraId="5E285194" w14:textId="77777777" w:rsidTr="00D515AA">
        <w:trPr>
          <w:trHeight w:val="549"/>
        </w:trPr>
        <w:tc>
          <w:tcPr>
            <w:tcW w:w="0" w:type="auto"/>
            <w:hideMark/>
          </w:tcPr>
          <w:p w14:paraId="2921B83E"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R24</w:t>
            </w:r>
          </w:p>
        </w:tc>
        <w:tc>
          <w:tcPr>
            <w:tcW w:w="0" w:type="auto"/>
            <w:hideMark/>
          </w:tcPr>
          <w:p w14:paraId="0DA5FD44"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Contractual risk</w:t>
            </w:r>
          </w:p>
        </w:tc>
        <w:tc>
          <w:tcPr>
            <w:tcW w:w="0" w:type="auto"/>
            <w:hideMark/>
          </w:tcPr>
          <w:p w14:paraId="33F1CBE8"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Contractual</w:t>
            </w:r>
          </w:p>
        </w:tc>
      </w:tr>
      <w:tr w:rsidR="00D21C7B" w:rsidRPr="008D1972" w14:paraId="5B5E3F2E" w14:textId="77777777" w:rsidTr="00D515AA">
        <w:trPr>
          <w:trHeight w:val="537"/>
        </w:trPr>
        <w:tc>
          <w:tcPr>
            <w:tcW w:w="0" w:type="auto"/>
            <w:hideMark/>
          </w:tcPr>
          <w:p w14:paraId="4BCE93D9"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R31</w:t>
            </w:r>
          </w:p>
        </w:tc>
        <w:tc>
          <w:tcPr>
            <w:tcW w:w="0" w:type="auto"/>
            <w:hideMark/>
          </w:tcPr>
          <w:p w14:paraId="4F0ADA0D"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Cost risk</w:t>
            </w:r>
          </w:p>
        </w:tc>
        <w:tc>
          <w:tcPr>
            <w:tcW w:w="0" w:type="auto"/>
            <w:hideMark/>
          </w:tcPr>
          <w:p w14:paraId="6E5C05FA"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Financial</w:t>
            </w:r>
          </w:p>
        </w:tc>
      </w:tr>
      <w:tr w:rsidR="00D21C7B" w:rsidRPr="008D1972" w14:paraId="30309042" w14:textId="77777777" w:rsidTr="00D515AA">
        <w:trPr>
          <w:trHeight w:val="549"/>
        </w:trPr>
        <w:tc>
          <w:tcPr>
            <w:tcW w:w="0" w:type="auto"/>
            <w:hideMark/>
          </w:tcPr>
          <w:p w14:paraId="49AAAF30"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R32</w:t>
            </w:r>
          </w:p>
        </w:tc>
        <w:tc>
          <w:tcPr>
            <w:tcW w:w="0" w:type="auto"/>
            <w:hideMark/>
          </w:tcPr>
          <w:p w14:paraId="340F985C"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Quality risk</w:t>
            </w:r>
          </w:p>
        </w:tc>
        <w:tc>
          <w:tcPr>
            <w:tcW w:w="0" w:type="auto"/>
            <w:hideMark/>
          </w:tcPr>
          <w:p w14:paraId="5554C5AE"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Technical</w:t>
            </w:r>
          </w:p>
        </w:tc>
      </w:tr>
      <w:tr w:rsidR="00D21C7B" w:rsidRPr="008D1972" w14:paraId="456EE10D" w14:textId="77777777" w:rsidTr="00D515AA">
        <w:trPr>
          <w:trHeight w:val="549"/>
        </w:trPr>
        <w:tc>
          <w:tcPr>
            <w:tcW w:w="0" w:type="auto"/>
            <w:hideMark/>
          </w:tcPr>
          <w:p w14:paraId="521B0AF8"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R33</w:t>
            </w:r>
          </w:p>
        </w:tc>
        <w:tc>
          <w:tcPr>
            <w:tcW w:w="0" w:type="auto"/>
            <w:hideMark/>
          </w:tcPr>
          <w:p w14:paraId="7280A182"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Schedule risk</w:t>
            </w:r>
          </w:p>
        </w:tc>
        <w:tc>
          <w:tcPr>
            <w:tcW w:w="0" w:type="auto"/>
            <w:hideMark/>
          </w:tcPr>
          <w:p w14:paraId="4BC0FB20"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Operational</w:t>
            </w:r>
          </w:p>
        </w:tc>
      </w:tr>
      <w:tr w:rsidR="00D21C7B" w:rsidRPr="008D1972" w14:paraId="3338FAD8" w14:textId="77777777" w:rsidTr="00D515AA">
        <w:trPr>
          <w:trHeight w:val="549"/>
        </w:trPr>
        <w:tc>
          <w:tcPr>
            <w:tcW w:w="0" w:type="auto"/>
            <w:hideMark/>
          </w:tcPr>
          <w:p w14:paraId="49BC952D"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R34</w:t>
            </w:r>
          </w:p>
        </w:tc>
        <w:tc>
          <w:tcPr>
            <w:tcW w:w="0" w:type="auto"/>
            <w:hideMark/>
          </w:tcPr>
          <w:p w14:paraId="62B3B6F0"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Health and safety risk</w:t>
            </w:r>
          </w:p>
        </w:tc>
        <w:tc>
          <w:tcPr>
            <w:tcW w:w="0" w:type="auto"/>
            <w:hideMark/>
          </w:tcPr>
          <w:p w14:paraId="237DFBFE"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Operational – HSE</w:t>
            </w:r>
          </w:p>
        </w:tc>
      </w:tr>
      <w:tr w:rsidR="00D21C7B" w:rsidRPr="008D1972" w14:paraId="5F58994C" w14:textId="77777777" w:rsidTr="00D515AA">
        <w:trPr>
          <w:trHeight w:val="549"/>
        </w:trPr>
        <w:tc>
          <w:tcPr>
            <w:tcW w:w="0" w:type="auto"/>
            <w:hideMark/>
          </w:tcPr>
          <w:p w14:paraId="2BFBF375"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R41</w:t>
            </w:r>
          </w:p>
        </w:tc>
        <w:tc>
          <w:tcPr>
            <w:tcW w:w="0" w:type="auto"/>
            <w:hideMark/>
          </w:tcPr>
          <w:p w14:paraId="7BB791D0"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Market risk</w:t>
            </w:r>
          </w:p>
        </w:tc>
        <w:tc>
          <w:tcPr>
            <w:tcW w:w="0" w:type="auto"/>
            <w:hideMark/>
          </w:tcPr>
          <w:p w14:paraId="4C61CF40"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External – Market</w:t>
            </w:r>
          </w:p>
        </w:tc>
      </w:tr>
      <w:tr w:rsidR="00D21C7B" w:rsidRPr="008D1972" w14:paraId="1D9E6158" w14:textId="77777777" w:rsidTr="00D515AA">
        <w:trPr>
          <w:trHeight w:val="537"/>
        </w:trPr>
        <w:tc>
          <w:tcPr>
            <w:tcW w:w="0" w:type="auto"/>
            <w:hideMark/>
          </w:tcPr>
          <w:p w14:paraId="64FDEAA6"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R42</w:t>
            </w:r>
          </w:p>
        </w:tc>
        <w:tc>
          <w:tcPr>
            <w:tcW w:w="0" w:type="auto"/>
            <w:hideMark/>
          </w:tcPr>
          <w:p w14:paraId="7C1FCDAC"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Price/vacancy risk</w:t>
            </w:r>
          </w:p>
        </w:tc>
        <w:tc>
          <w:tcPr>
            <w:tcW w:w="0" w:type="auto"/>
            <w:hideMark/>
          </w:tcPr>
          <w:p w14:paraId="6B224AD9"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Financial</w:t>
            </w:r>
          </w:p>
        </w:tc>
      </w:tr>
      <w:tr w:rsidR="00D21C7B" w:rsidRPr="008D1972" w14:paraId="53476C34" w14:textId="77777777" w:rsidTr="00D515AA">
        <w:trPr>
          <w:trHeight w:val="549"/>
        </w:trPr>
        <w:tc>
          <w:tcPr>
            <w:tcW w:w="0" w:type="auto"/>
            <w:hideMark/>
          </w:tcPr>
          <w:p w14:paraId="60091FD8"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R43</w:t>
            </w:r>
          </w:p>
        </w:tc>
        <w:tc>
          <w:tcPr>
            <w:tcW w:w="0" w:type="auto"/>
            <w:hideMark/>
          </w:tcPr>
          <w:p w14:paraId="5917881F"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Investment/merchant risk</w:t>
            </w:r>
          </w:p>
        </w:tc>
        <w:tc>
          <w:tcPr>
            <w:tcW w:w="0" w:type="auto"/>
            <w:hideMark/>
          </w:tcPr>
          <w:p w14:paraId="76CDE141"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Financial – Commercial</w:t>
            </w:r>
          </w:p>
        </w:tc>
      </w:tr>
      <w:tr w:rsidR="00D21C7B" w:rsidRPr="008D1972" w14:paraId="2E3B5D1E" w14:textId="77777777" w:rsidTr="00D515AA">
        <w:trPr>
          <w:trHeight w:val="549"/>
        </w:trPr>
        <w:tc>
          <w:tcPr>
            <w:tcW w:w="0" w:type="auto"/>
            <w:hideMark/>
          </w:tcPr>
          <w:p w14:paraId="760EEED0"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R44</w:t>
            </w:r>
          </w:p>
        </w:tc>
        <w:tc>
          <w:tcPr>
            <w:tcW w:w="0" w:type="auto"/>
            <w:hideMark/>
          </w:tcPr>
          <w:p w14:paraId="35EC9F4B"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Marketing and payback risk</w:t>
            </w:r>
          </w:p>
        </w:tc>
        <w:tc>
          <w:tcPr>
            <w:tcW w:w="0" w:type="auto"/>
            <w:hideMark/>
          </w:tcPr>
          <w:p w14:paraId="51A7D24B"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Financial – Commercial</w:t>
            </w:r>
          </w:p>
        </w:tc>
      </w:tr>
      <w:tr w:rsidR="00D21C7B" w:rsidRPr="008D1972" w14:paraId="2151D51B" w14:textId="77777777" w:rsidTr="00D515AA">
        <w:trPr>
          <w:trHeight w:val="549"/>
        </w:trPr>
        <w:tc>
          <w:tcPr>
            <w:tcW w:w="0" w:type="auto"/>
            <w:hideMark/>
          </w:tcPr>
          <w:p w14:paraId="36700185"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R45</w:t>
            </w:r>
          </w:p>
        </w:tc>
        <w:tc>
          <w:tcPr>
            <w:tcW w:w="0" w:type="auto"/>
            <w:hideMark/>
          </w:tcPr>
          <w:p w14:paraId="01F718F2"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Network security risk</w:t>
            </w:r>
          </w:p>
        </w:tc>
        <w:tc>
          <w:tcPr>
            <w:tcW w:w="0" w:type="auto"/>
            <w:hideMark/>
          </w:tcPr>
          <w:p w14:paraId="7F84B648" w14:textId="77777777" w:rsidR="00D21C7B" w:rsidRPr="008D1972" w:rsidRDefault="00D21C7B" w:rsidP="00D515AA">
            <w:pPr>
              <w:spacing w:line="276" w:lineRule="auto"/>
              <w:rPr>
                <w:rFonts w:ascii="Times New Roman" w:hAnsi="Times New Roman" w:cs="Times New Roman"/>
                <w:sz w:val="24"/>
                <w:szCs w:val="24"/>
              </w:rPr>
            </w:pPr>
            <w:r w:rsidRPr="008D1972">
              <w:rPr>
                <w:rFonts w:ascii="Times New Roman" w:hAnsi="Times New Roman" w:cs="Times New Roman"/>
                <w:sz w:val="24"/>
                <w:szCs w:val="24"/>
              </w:rPr>
              <w:t>Technical – Cybersecurity</w:t>
            </w:r>
          </w:p>
        </w:tc>
      </w:tr>
    </w:tbl>
    <w:p w14:paraId="5B693B68" w14:textId="77777777" w:rsidR="00D21C7B" w:rsidRPr="008D1972" w:rsidRDefault="00D21C7B" w:rsidP="00D21C7B">
      <w:pPr>
        <w:spacing w:after="0" w:line="480" w:lineRule="auto"/>
        <w:ind w:firstLine="720"/>
        <w:rPr>
          <w:rFonts w:ascii="Times New Roman" w:hAnsi="Times New Roman" w:cs="Times New Roman"/>
          <w:sz w:val="24"/>
          <w:szCs w:val="24"/>
        </w:rPr>
      </w:pPr>
      <w:commentRangeStart w:id="59"/>
      <w:r w:rsidRPr="008D1972">
        <w:rPr>
          <w:rFonts w:ascii="Times New Roman" w:hAnsi="Times New Roman" w:cs="Times New Roman"/>
          <w:sz w:val="24"/>
          <w:szCs w:val="24"/>
        </w:rPr>
        <w:t xml:space="preserve">The appendix classifies the sixteen risks into five typological clusters: regulatory, market, financial, technical, operational, contractual and cybersecurity. These are invoked throughout the body of this analysis to elaborate on how the risk phase placement aligns with risk type - for example, the placement of financial risks across both pre-development and lease/sale phases is due to the capital-intensive and revenue- uncertainties associated with, respectively, investing in </w:t>
      </w:r>
      <w:r w:rsidRPr="008D1972">
        <w:rPr>
          <w:rFonts w:ascii="Times New Roman" w:hAnsi="Times New Roman" w:cs="Times New Roman"/>
          <w:sz w:val="24"/>
          <w:szCs w:val="24"/>
        </w:rPr>
        <w:lastRenderedPageBreak/>
        <w:t>CRE development in a pandemic environment and marketing lease versus sale options; similarly, the concentration of technical and operational risks in the construction phase is due the labour-intensive and material-dependent nature of on-site construction.</w:t>
      </w:r>
      <w:commentRangeEnd w:id="59"/>
      <w:r w:rsidR="009800D0" w:rsidRPr="008D1972">
        <w:rPr>
          <w:rStyle w:val="CommentReference"/>
          <w:rFonts w:ascii="Times New Roman" w:hAnsi="Times New Roman" w:cs="Times New Roman"/>
          <w:sz w:val="24"/>
          <w:szCs w:val="24"/>
        </w:rPr>
        <w:commentReference w:id="59"/>
      </w:r>
    </w:p>
    <w:p w14:paraId="6F18F35F" w14:textId="77777777" w:rsidR="00D21C7B" w:rsidRPr="008D1972" w:rsidRDefault="00D21C7B" w:rsidP="00D21C7B">
      <w:pPr>
        <w:spacing w:after="0" w:line="480" w:lineRule="auto"/>
        <w:ind w:firstLine="720"/>
        <w:rPr>
          <w:rFonts w:ascii="Times New Roman" w:hAnsi="Times New Roman" w:cs="Times New Roman"/>
          <w:sz w:val="24"/>
          <w:szCs w:val="24"/>
        </w:rPr>
      </w:pPr>
    </w:p>
    <w:p w14:paraId="3156476B" w14:textId="2B3D879D" w:rsidR="00646202" w:rsidRPr="00D21C7B" w:rsidRDefault="00646202" w:rsidP="00D21C7B">
      <w:pPr>
        <w:spacing w:after="0" w:line="480" w:lineRule="auto"/>
        <w:rPr>
          <w:rFonts w:ascii="Times New Roman" w:hAnsi="Times New Roman" w:cs="Times New Roman"/>
          <w:sz w:val="24"/>
          <w:szCs w:val="24"/>
        </w:rPr>
      </w:pPr>
    </w:p>
    <w:sectPr w:rsidR="00646202" w:rsidRPr="00D21C7B">
      <w:head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yx" w:date="2026-05-06T03:18:00Z" w:initials="nyx">
    <w:p w14:paraId="06C4EC60" w14:textId="77777777" w:rsidR="00D27F08" w:rsidRPr="008D1972" w:rsidRDefault="00D27F08" w:rsidP="00D27F08">
      <w:pPr>
        <w:pStyle w:val="CommentText"/>
      </w:pPr>
      <w:r w:rsidRPr="008D1972">
        <w:rPr>
          <w:rStyle w:val="CommentReference"/>
        </w:rPr>
        <w:annotationRef/>
      </w:r>
      <w:r w:rsidRPr="008D1972">
        <w:t>BC13</w:t>
      </w:r>
    </w:p>
  </w:comment>
  <w:comment w:id="1" w:author="nyx" w:date="2026-05-06T03:18:00Z" w:initials="nyx">
    <w:p w14:paraId="6B4C74CE" w14:textId="77777777" w:rsidR="00D27F08" w:rsidRPr="008D1972" w:rsidRDefault="00D27F08" w:rsidP="00D27F08">
      <w:pPr>
        <w:pStyle w:val="CommentText"/>
      </w:pPr>
      <w:r w:rsidRPr="008D1972">
        <w:rPr>
          <w:rStyle w:val="CommentReference"/>
        </w:rPr>
        <w:annotationRef/>
      </w:r>
      <w:r w:rsidRPr="008D1972">
        <w:t>BC13</w:t>
      </w:r>
    </w:p>
  </w:comment>
  <w:comment w:id="2" w:author="nyx" w:date="2026-05-06T03:19:00Z" w:initials="nyx">
    <w:p w14:paraId="0CDAB3F2" w14:textId="77777777" w:rsidR="00CE18BA" w:rsidRPr="008D1972" w:rsidRDefault="00CE18BA" w:rsidP="00CE18BA">
      <w:pPr>
        <w:pStyle w:val="CommentText"/>
      </w:pPr>
      <w:r w:rsidRPr="008D1972">
        <w:rPr>
          <w:rStyle w:val="CommentReference"/>
        </w:rPr>
        <w:annotationRef/>
      </w:r>
      <w:r w:rsidRPr="008D1972">
        <w:t>Covid happened during CRE development stages?</w:t>
      </w:r>
    </w:p>
    <w:p w14:paraId="5D2BD107" w14:textId="77777777" w:rsidR="00CE18BA" w:rsidRPr="008D1972" w:rsidRDefault="00CE18BA" w:rsidP="00CE18BA">
      <w:pPr>
        <w:pStyle w:val="CommentText"/>
      </w:pPr>
      <w:r w:rsidRPr="008D1972">
        <w:t>BC16, BC20</w:t>
      </w:r>
    </w:p>
  </w:comment>
  <w:comment w:id="4" w:author="nyx" w:date="2026-05-06T06:35:00Z" w:initials="nyx">
    <w:p w14:paraId="142F9A15" w14:textId="77777777" w:rsidR="00E5210F" w:rsidRDefault="00E5210F" w:rsidP="00E5210F">
      <w:pPr>
        <w:pStyle w:val="CommentText"/>
      </w:pPr>
      <w:r>
        <w:rPr>
          <w:rStyle w:val="CommentReference"/>
        </w:rPr>
        <w:annotationRef/>
      </w:r>
      <w:r>
        <w:rPr>
          <w:lang w:val="en-GB"/>
        </w:rPr>
        <w:t>BC12: please use American spelling throughout</w:t>
      </w:r>
    </w:p>
    <w:p w14:paraId="0136C6C3" w14:textId="77777777" w:rsidR="00E5210F" w:rsidRDefault="00E5210F" w:rsidP="00E5210F">
      <w:pPr>
        <w:pStyle w:val="CommentText"/>
      </w:pPr>
      <w:r>
        <w:rPr>
          <w:lang w:val="en-GB"/>
        </w:rPr>
        <w:t>I have highlighted as many instances throughout the paper as I could find</w:t>
      </w:r>
    </w:p>
    <w:p w14:paraId="632475A0" w14:textId="77777777" w:rsidR="00E5210F" w:rsidRDefault="00E5210F" w:rsidP="00E5210F">
      <w:pPr>
        <w:pStyle w:val="CommentText"/>
      </w:pPr>
      <w:r>
        <w:rPr>
          <w:lang w:val="en-GB"/>
        </w:rPr>
        <w:t>However, if I overlooked any, please fix that too</w:t>
      </w:r>
    </w:p>
  </w:comment>
  <w:comment w:id="3" w:author="nyx" w:date="2026-05-06T03:20:00Z" w:initials="nyx">
    <w:p w14:paraId="54EC0C3D" w14:textId="77777777" w:rsidR="005372CF" w:rsidRPr="008D1972" w:rsidRDefault="005372CF" w:rsidP="005372CF">
      <w:pPr>
        <w:pStyle w:val="CommentText"/>
      </w:pPr>
      <w:r w:rsidRPr="008D1972">
        <w:rPr>
          <w:rStyle w:val="CommentReference"/>
        </w:rPr>
        <w:annotationRef/>
      </w:r>
      <w:r w:rsidRPr="008D1972">
        <w:t>Shanghai’s lockdown was China’s epicenter? Or just Shanghai?</w:t>
      </w:r>
    </w:p>
    <w:p w14:paraId="408C70E9" w14:textId="77777777" w:rsidR="005372CF" w:rsidRPr="008D1972" w:rsidRDefault="005372CF" w:rsidP="005372CF">
      <w:pPr>
        <w:pStyle w:val="CommentText"/>
      </w:pPr>
      <w:r w:rsidRPr="008D1972">
        <w:t>BC16</w:t>
      </w:r>
    </w:p>
  </w:comment>
  <w:comment w:id="5" w:author="nyx" w:date="2026-05-06T03:24:00Z" w:initials="nyx">
    <w:p w14:paraId="73B32CFD" w14:textId="77777777" w:rsidR="001823FE" w:rsidRPr="008D1972" w:rsidRDefault="001823FE" w:rsidP="001823FE">
      <w:pPr>
        <w:pStyle w:val="CommentText"/>
      </w:pPr>
      <w:r w:rsidRPr="008D1972">
        <w:rPr>
          <w:rStyle w:val="CommentReference"/>
        </w:rPr>
        <w:annotationRef/>
      </w:r>
      <w:r w:rsidRPr="008D1972">
        <w:t>BC12: use American spelling please</w:t>
      </w:r>
    </w:p>
    <w:p w14:paraId="734FF6D7" w14:textId="77777777" w:rsidR="001823FE" w:rsidRPr="008D1972" w:rsidRDefault="001823FE" w:rsidP="001823FE">
      <w:pPr>
        <w:pStyle w:val="CommentText"/>
      </w:pPr>
      <w:r w:rsidRPr="008D1972">
        <w:t>Fix throughout</w:t>
      </w:r>
    </w:p>
  </w:comment>
  <w:comment w:id="6" w:author="nyx" w:date="2026-05-06T03:51:00Z" w:initials="nyx">
    <w:p w14:paraId="16BA2714" w14:textId="77777777" w:rsidR="00753056" w:rsidRPr="008D1972" w:rsidRDefault="00753056" w:rsidP="00753056">
      <w:pPr>
        <w:pStyle w:val="CommentText"/>
      </w:pPr>
      <w:r w:rsidRPr="008D1972">
        <w:rPr>
          <w:rStyle w:val="CommentReference"/>
        </w:rPr>
        <w:annotationRef/>
      </w:r>
      <w:r w:rsidRPr="008D1972">
        <w:t>BC13</w:t>
      </w:r>
    </w:p>
  </w:comment>
  <w:comment w:id="7" w:author="nyx" w:date="2026-05-06T03:52:00Z" w:initials="nyx">
    <w:p w14:paraId="434170D7" w14:textId="77777777" w:rsidR="00510DD4" w:rsidRPr="008D1972" w:rsidRDefault="00510DD4" w:rsidP="00510DD4">
      <w:pPr>
        <w:pStyle w:val="CommentText"/>
      </w:pPr>
      <w:r w:rsidRPr="008D1972">
        <w:rPr>
          <w:rStyle w:val="CommentReference"/>
        </w:rPr>
        <w:annotationRef/>
      </w:r>
      <w:r w:rsidRPr="008D1972">
        <w:t>Life cycle of what? BC33</w:t>
      </w:r>
    </w:p>
  </w:comment>
  <w:comment w:id="8" w:author="nyx" w:date="2026-05-06T03:52:00Z" w:initials="nyx">
    <w:p w14:paraId="2C0584B3" w14:textId="77777777" w:rsidR="00510DD4" w:rsidRPr="008D1972" w:rsidRDefault="00510DD4" w:rsidP="00510DD4">
      <w:pPr>
        <w:pStyle w:val="CommentText"/>
      </w:pPr>
      <w:r w:rsidRPr="008D1972">
        <w:rPr>
          <w:rStyle w:val="CommentReference"/>
        </w:rPr>
        <w:annotationRef/>
      </w:r>
      <w:r w:rsidRPr="008D1972">
        <w:t>BC13</w:t>
      </w:r>
    </w:p>
  </w:comment>
  <w:comment w:id="9" w:author="nyx" w:date="2026-05-06T03:52:00Z" w:initials="nyx">
    <w:p w14:paraId="360925EE" w14:textId="77777777" w:rsidR="00260162" w:rsidRPr="008D1972" w:rsidRDefault="00260162" w:rsidP="00260162">
      <w:pPr>
        <w:pStyle w:val="CommentText"/>
      </w:pPr>
      <w:r w:rsidRPr="008D1972">
        <w:rPr>
          <w:rStyle w:val="CommentReference"/>
        </w:rPr>
        <w:annotationRef/>
      </w:r>
      <w:r w:rsidRPr="008D1972">
        <w:t>BC13</w:t>
      </w:r>
    </w:p>
  </w:comment>
  <w:comment w:id="11" w:author="nyx" w:date="2026-05-06T03:53:00Z" w:initials="nyx">
    <w:p w14:paraId="647839E9" w14:textId="77777777" w:rsidR="001E3F20" w:rsidRPr="008D1972" w:rsidRDefault="001E3F20" w:rsidP="001E3F20">
      <w:pPr>
        <w:pStyle w:val="CommentText"/>
      </w:pPr>
      <w:r w:rsidRPr="008D1972">
        <w:rPr>
          <w:rStyle w:val="CommentReference"/>
        </w:rPr>
        <w:annotationRef/>
      </w:r>
      <w:r w:rsidRPr="008D1972">
        <w:t>BC13</w:t>
      </w:r>
    </w:p>
  </w:comment>
  <w:comment w:id="10" w:author="nyx" w:date="2026-05-06T03:53:00Z" w:initials="nyx">
    <w:p w14:paraId="081BA5D1" w14:textId="77777777" w:rsidR="00260162" w:rsidRPr="008D1972" w:rsidRDefault="00260162" w:rsidP="00260162">
      <w:pPr>
        <w:pStyle w:val="CommentText"/>
      </w:pPr>
      <w:r w:rsidRPr="008D1972">
        <w:rPr>
          <w:rStyle w:val="CommentReference"/>
        </w:rPr>
        <w:annotationRef/>
      </w:r>
      <w:r w:rsidRPr="008D1972">
        <w:t>a/an with each professional mentioned here</w:t>
      </w:r>
    </w:p>
    <w:p w14:paraId="3AE66EAF" w14:textId="77777777" w:rsidR="00260162" w:rsidRPr="008D1972" w:rsidRDefault="00260162" w:rsidP="00260162">
      <w:pPr>
        <w:pStyle w:val="CommentText"/>
      </w:pPr>
      <w:r w:rsidRPr="008D1972">
        <w:t>BC17</w:t>
      </w:r>
    </w:p>
  </w:comment>
  <w:comment w:id="13" w:author="nyx" w:date="2026-05-06T03:53:00Z" w:initials="nyx">
    <w:p w14:paraId="02AD956F" w14:textId="77777777" w:rsidR="001E3F20" w:rsidRPr="008D1972" w:rsidRDefault="001E3F20" w:rsidP="001E3F20">
      <w:pPr>
        <w:pStyle w:val="CommentText"/>
      </w:pPr>
      <w:r w:rsidRPr="008D1972">
        <w:rPr>
          <w:rStyle w:val="CommentReference"/>
        </w:rPr>
        <w:annotationRef/>
      </w:r>
      <w:r w:rsidRPr="008D1972">
        <w:t>BC13</w:t>
      </w:r>
    </w:p>
  </w:comment>
  <w:comment w:id="12" w:author="nyx" w:date="2026-05-06T04:10:00Z" w:initials="nyx">
    <w:p w14:paraId="173D43CF" w14:textId="77777777" w:rsidR="005D191F" w:rsidRPr="008D1972" w:rsidRDefault="005D191F" w:rsidP="005D191F">
      <w:pPr>
        <w:pStyle w:val="CommentText"/>
      </w:pPr>
      <w:r w:rsidRPr="008D1972">
        <w:rPr>
          <w:rStyle w:val="CommentReference"/>
        </w:rPr>
        <w:annotationRef/>
      </w:r>
      <w:r w:rsidRPr="008D1972">
        <w:t>BC33</w:t>
      </w:r>
    </w:p>
  </w:comment>
  <w:comment w:id="14" w:author="nyx" w:date="2026-05-06T03:54:00Z" w:initials="nyx">
    <w:p w14:paraId="64011613" w14:textId="77777777" w:rsidR="001E3F20" w:rsidRPr="008D1972" w:rsidRDefault="001E3F20" w:rsidP="001E3F20">
      <w:pPr>
        <w:pStyle w:val="CommentText"/>
      </w:pPr>
      <w:r w:rsidRPr="008D1972">
        <w:rPr>
          <w:rStyle w:val="CommentReference"/>
        </w:rPr>
        <w:annotationRef/>
      </w:r>
      <w:r w:rsidRPr="008D1972">
        <w:t>BC17, BC32: 3</w:t>
      </w:r>
      <w:r w:rsidRPr="008D1972">
        <w:rPr>
          <w:vertAlign w:val="superscript"/>
        </w:rPr>
        <w:t>rd</w:t>
      </w:r>
      <w:r w:rsidRPr="008D1972">
        <w:t xml:space="preserve"> person only please</w:t>
      </w:r>
    </w:p>
  </w:comment>
  <w:comment w:id="15" w:author="nyx" w:date="2026-05-06T04:12:00Z" w:initials="nyx">
    <w:p w14:paraId="360AD5B4" w14:textId="77777777" w:rsidR="00A9243B" w:rsidRPr="008D1972" w:rsidRDefault="00A9243B" w:rsidP="00A9243B">
      <w:pPr>
        <w:pStyle w:val="CommentText"/>
      </w:pPr>
      <w:r w:rsidRPr="008D1972">
        <w:rPr>
          <w:rStyle w:val="CommentReference"/>
        </w:rPr>
        <w:annotationRef/>
      </w:r>
      <w:r w:rsidRPr="008D1972">
        <w:t>BC9, BC20</w:t>
      </w:r>
    </w:p>
  </w:comment>
  <w:comment w:id="16" w:author="nyx" w:date="2026-05-06T04:12:00Z" w:initials="nyx">
    <w:p w14:paraId="4A30CBBC" w14:textId="77777777" w:rsidR="007F0277" w:rsidRPr="008D1972" w:rsidRDefault="007F0277" w:rsidP="007F0277">
      <w:pPr>
        <w:pStyle w:val="CommentText"/>
      </w:pPr>
      <w:r w:rsidRPr="008D1972">
        <w:rPr>
          <w:rStyle w:val="CommentReference"/>
        </w:rPr>
        <w:annotationRef/>
      </w:r>
      <w:r w:rsidRPr="008D1972">
        <w:t>BC13</w:t>
      </w:r>
    </w:p>
  </w:comment>
  <w:comment w:id="17" w:author="nyx" w:date="2026-05-06T04:11:00Z" w:initials="nyx">
    <w:p w14:paraId="3EE8360D" w14:textId="77777777" w:rsidR="00994DFE" w:rsidRPr="008D1972" w:rsidRDefault="00994DFE" w:rsidP="00994DFE">
      <w:pPr>
        <w:pStyle w:val="CommentText"/>
      </w:pPr>
      <w:r w:rsidRPr="008D1972">
        <w:rPr>
          <w:rStyle w:val="CommentReference"/>
        </w:rPr>
        <w:annotationRef/>
      </w:r>
      <w:r w:rsidRPr="008D1972">
        <w:t>BC12</w:t>
      </w:r>
    </w:p>
  </w:comment>
  <w:comment w:id="18" w:author="nyx" w:date="2026-05-06T06:34:00Z" w:initials="nyx">
    <w:p w14:paraId="1E1A32D4" w14:textId="77777777" w:rsidR="00E5210F" w:rsidRDefault="00E5210F" w:rsidP="00E5210F">
      <w:pPr>
        <w:pStyle w:val="CommentText"/>
      </w:pPr>
      <w:r>
        <w:rPr>
          <w:rStyle w:val="CommentReference"/>
        </w:rPr>
        <w:annotationRef/>
      </w:r>
      <w:r>
        <w:rPr>
          <w:lang w:val="en-GB"/>
        </w:rPr>
        <w:t>BC12</w:t>
      </w:r>
    </w:p>
  </w:comment>
  <w:comment w:id="19" w:author="nyx" w:date="2026-05-06T04:19:00Z" w:initials="nyx">
    <w:p w14:paraId="7628918D" w14:textId="77777777" w:rsidR="001453D2" w:rsidRPr="008D1972" w:rsidRDefault="001453D2" w:rsidP="001453D2">
      <w:pPr>
        <w:pStyle w:val="CommentText"/>
      </w:pPr>
      <w:r w:rsidRPr="008D1972">
        <w:rPr>
          <w:rStyle w:val="CommentReference"/>
        </w:rPr>
        <w:annotationRef/>
      </w:r>
      <w:r w:rsidRPr="008D1972">
        <w:t>BC14</w:t>
      </w:r>
    </w:p>
  </w:comment>
  <w:comment w:id="20" w:author="nyx" w:date="2026-05-06T04:20:00Z" w:initials="nyx">
    <w:p w14:paraId="676281D9" w14:textId="77777777" w:rsidR="001453D2" w:rsidRPr="008D1972" w:rsidRDefault="001453D2" w:rsidP="001453D2">
      <w:pPr>
        <w:pStyle w:val="CommentText"/>
      </w:pPr>
      <w:r w:rsidRPr="008D1972">
        <w:rPr>
          <w:rStyle w:val="CommentReference"/>
        </w:rPr>
        <w:annotationRef/>
      </w:r>
      <w:r w:rsidRPr="008D1972">
        <w:t>Add a reference to the appendix too, because the appendix requires you to identify risks as well</w:t>
      </w:r>
    </w:p>
    <w:p w14:paraId="793E5AED" w14:textId="77777777" w:rsidR="001453D2" w:rsidRPr="008D1972" w:rsidRDefault="001453D2" w:rsidP="001453D2">
      <w:pPr>
        <w:pStyle w:val="CommentText"/>
      </w:pPr>
      <w:r w:rsidRPr="008D1972">
        <w:t>BC9, BC29</w:t>
      </w:r>
    </w:p>
  </w:comment>
  <w:comment w:id="21" w:author="nyx" w:date="2026-05-06T04:20:00Z" w:initials="nyx">
    <w:p w14:paraId="605D07D4" w14:textId="77777777" w:rsidR="001453D2" w:rsidRPr="008D1972" w:rsidRDefault="001453D2" w:rsidP="001453D2">
      <w:pPr>
        <w:pStyle w:val="CommentText"/>
      </w:pPr>
      <w:r w:rsidRPr="008D1972">
        <w:rPr>
          <w:rStyle w:val="CommentReference"/>
        </w:rPr>
        <w:annotationRef/>
      </w:r>
      <w:r w:rsidRPr="008D1972">
        <w:t>BC12</w:t>
      </w:r>
    </w:p>
  </w:comment>
  <w:comment w:id="22" w:author="nyx" w:date="2026-05-06T05:55:00Z" w:initials="nyx">
    <w:p w14:paraId="4897C206" w14:textId="77777777" w:rsidR="00921EC0" w:rsidRDefault="00921EC0" w:rsidP="00921EC0">
      <w:pPr>
        <w:pStyle w:val="CommentText"/>
      </w:pPr>
      <w:r>
        <w:rPr>
          <w:rStyle w:val="CommentReference"/>
        </w:rPr>
        <w:annotationRef/>
      </w:r>
      <w:r>
        <w:rPr>
          <w:lang w:val="en-GB"/>
        </w:rPr>
        <w:t>BC44: not listed on the reference page</w:t>
      </w:r>
    </w:p>
  </w:comment>
  <w:comment w:id="23" w:author="nyx" w:date="2026-05-06T04:20:00Z" w:initials="nyx">
    <w:p w14:paraId="6B58B316" w14:textId="77777777" w:rsidR="008D1972" w:rsidRDefault="008D1972" w:rsidP="008D1972">
      <w:pPr>
        <w:pStyle w:val="CommentText"/>
      </w:pPr>
      <w:r w:rsidRPr="008D1972">
        <w:rPr>
          <w:rStyle w:val="CommentReference"/>
        </w:rPr>
        <w:annotationRef/>
      </w:r>
      <w:r w:rsidRPr="008D1972">
        <w:t>BC13</w:t>
      </w:r>
    </w:p>
  </w:comment>
  <w:comment w:id="24" w:author="nyx" w:date="2026-05-06T04:21:00Z" w:initials="nyx">
    <w:p w14:paraId="3DFE2AD1" w14:textId="77777777" w:rsidR="00302E91" w:rsidRDefault="00302E91" w:rsidP="00302E91">
      <w:pPr>
        <w:pStyle w:val="CommentText"/>
      </w:pPr>
      <w:r>
        <w:rPr>
          <w:rStyle w:val="CommentReference"/>
        </w:rPr>
        <w:annotationRef/>
      </w:r>
      <w:r>
        <w:rPr>
          <w:lang w:val="en-GB"/>
        </w:rPr>
        <w:t>BC33</w:t>
      </w:r>
    </w:p>
  </w:comment>
  <w:comment w:id="26" w:author="nyx" w:date="2026-05-06T04:21:00Z" w:initials="nyx">
    <w:p w14:paraId="6784AA33" w14:textId="77777777" w:rsidR="00B3404F" w:rsidRDefault="00B3404F" w:rsidP="00B3404F">
      <w:pPr>
        <w:pStyle w:val="CommentText"/>
      </w:pPr>
      <w:r>
        <w:rPr>
          <w:rStyle w:val="CommentReference"/>
        </w:rPr>
        <w:annotationRef/>
      </w:r>
      <w:r>
        <w:rPr>
          <w:lang w:val="en-GB"/>
        </w:rPr>
        <w:t>BC13</w:t>
      </w:r>
    </w:p>
  </w:comment>
  <w:comment w:id="27" w:author="nyx" w:date="2026-05-06T04:26:00Z" w:initials="nyx">
    <w:p w14:paraId="313F4575" w14:textId="77777777" w:rsidR="00753295" w:rsidRDefault="00753295" w:rsidP="00753295">
      <w:pPr>
        <w:pStyle w:val="CommentText"/>
      </w:pPr>
      <w:r>
        <w:rPr>
          <w:rStyle w:val="CommentReference"/>
        </w:rPr>
        <w:annotationRef/>
      </w:r>
      <w:r>
        <w:rPr>
          <w:lang w:val="en-GB"/>
        </w:rPr>
        <w:t>BC12</w:t>
      </w:r>
    </w:p>
  </w:comment>
  <w:comment w:id="28" w:author="nyx" w:date="2026-05-06T04:26:00Z" w:initials="nyx">
    <w:p w14:paraId="05BD4688" w14:textId="77777777" w:rsidR="00753295" w:rsidRDefault="00753295" w:rsidP="00753295">
      <w:pPr>
        <w:pStyle w:val="CommentText"/>
      </w:pPr>
      <w:r>
        <w:rPr>
          <w:rStyle w:val="CommentReference"/>
        </w:rPr>
        <w:annotationRef/>
      </w:r>
      <w:r>
        <w:rPr>
          <w:lang w:val="en-GB"/>
        </w:rPr>
        <w:t>BC12</w:t>
      </w:r>
    </w:p>
  </w:comment>
  <w:comment w:id="29" w:author="nyx" w:date="2026-05-06T04:26:00Z" w:initials="nyx">
    <w:p w14:paraId="13F93FAC" w14:textId="77777777" w:rsidR="00023D8A" w:rsidRDefault="00023D8A" w:rsidP="00023D8A">
      <w:pPr>
        <w:pStyle w:val="CommentText"/>
      </w:pPr>
      <w:r>
        <w:rPr>
          <w:rStyle w:val="CommentReference"/>
        </w:rPr>
        <w:annotationRef/>
      </w:r>
      <w:r>
        <w:rPr>
          <w:lang w:val="en-GB"/>
        </w:rPr>
        <w:t>BC12, BC15</w:t>
      </w:r>
    </w:p>
  </w:comment>
  <w:comment w:id="30" w:author="nyx" w:date="2026-05-06T06:02:00Z" w:initials="nyx">
    <w:p w14:paraId="379A2060" w14:textId="77777777" w:rsidR="00F82FB4" w:rsidRDefault="00F82FB4" w:rsidP="00F82FB4">
      <w:pPr>
        <w:pStyle w:val="CommentText"/>
      </w:pPr>
      <w:r>
        <w:rPr>
          <w:rStyle w:val="CommentReference"/>
        </w:rPr>
        <w:annotationRef/>
      </w:r>
      <w:r>
        <w:rPr>
          <w:lang w:val="en-GB"/>
        </w:rPr>
        <w:t>BC12</w:t>
      </w:r>
    </w:p>
  </w:comment>
  <w:comment w:id="32" w:author="nyx" w:date="2026-05-06T04:27:00Z" w:initials="nyx">
    <w:p w14:paraId="39887862" w14:textId="77777777" w:rsidR="00023D8A" w:rsidRDefault="00023D8A" w:rsidP="00023D8A">
      <w:pPr>
        <w:pStyle w:val="CommentText"/>
      </w:pPr>
      <w:r>
        <w:rPr>
          <w:rStyle w:val="CommentReference"/>
        </w:rPr>
        <w:annotationRef/>
      </w:r>
      <w:r>
        <w:rPr>
          <w:lang w:val="en-GB"/>
        </w:rPr>
        <w:t>BC12</w:t>
      </w:r>
    </w:p>
  </w:comment>
  <w:comment w:id="31" w:author="nyx" w:date="2026-05-06T06:02:00Z" w:initials="nyx">
    <w:p w14:paraId="0C52E82B" w14:textId="77777777" w:rsidR="00D0670F" w:rsidRDefault="00D0670F" w:rsidP="00D0670F">
      <w:pPr>
        <w:pStyle w:val="CommentText"/>
      </w:pPr>
      <w:r>
        <w:rPr>
          <w:rStyle w:val="CommentReference"/>
        </w:rPr>
        <w:annotationRef/>
      </w:r>
      <w:r>
        <w:rPr>
          <w:lang w:val="en-GB"/>
        </w:rPr>
        <w:t>Info not found in the cited source</w:t>
      </w:r>
    </w:p>
    <w:p w14:paraId="796856A3" w14:textId="77777777" w:rsidR="00D0670F" w:rsidRDefault="00D0670F" w:rsidP="00D0670F">
      <w:pPr>
        <w:pStyle w:val="CommentText"/>
      </w:pPr>
      <w:r>
        <w:rPr>
          <w:lang w:val="en-GB"/>
        </w:rPr>
        <w:t>BC44</w:t>
      </w:r>
    </w:p>
  </w:comment>
  <w:comment w:id="33" w:author="nyx" w:date="2026-05-06T06:04:00Z" w:initials="nyx">
    <w:p w14:paraId="0AEEEF5B" w14:textId="77777777" w:rsidR="00B16F71" w:rsidRDefault="00B16F71" w:rsidP="00B16F71">
      <w:pPr>
        <w:pStyle w:val="CommentText"/>
      </w:pPr>
      <w:r>
        <w:rPr>
          <w:rStyle w:val="CommentReference"/>
        </w:rPr>
        <w:annotationRef/>
      </w:r>
      <w:r>
        <w:rPr>
          <w:lang w:val="en-GB"/>
        </w:rPr>
        <w:t>BC17: the</w:t>
      </w:r>
    </w:p>
  </w:comment>
  <w:comment w:id="34" w:author="nyx" w:date="2026-05-06T06:05:00Z" w:initials="nyx">
    <w:p w14:paraId="74040933" w14:textId="77777777" w:rsidR="0041249E" w:rsidRDefault="0041249E" w:rsidP="0041249E">
      <w:pPr>
        <w:pStyle w:val="CommentText"/>
      </w:pPr>
      <w:r>
        <w:rPr>
          <w:rStyle w:val="CommentReference"/>
        </w:rPr>
        <w:annotationRef/>
      </w:r>
      <w:r>
        <w:rPr>
          <w:lang w:val="en-GB"/>
        </w:rPr>
        <w:t>BC12</w:t>
      </w:r>
    </w:p>
  </w:comment>
  <w:comment w:id="35" w:author="nyx" w:date="2026-05-06T06:05:00Z" w:initials="nyx">
    <w:p w14:paraId="4CC818D9" w14:textId="77777777" w:rsidR="000B5ED5" w:rsidRDefault="000B5ED5" w:rsidP="000B5ED5">
      <w:pPr>
        <w:pStyle w:val="CommentText"/>
      </w:pPr>
      <w:r>
        <w:rPr>
          <w:rStyle w:val="CommentReference"/>
        </w:rPr>
        <w:annotationRef/>
      </w:r>
      <w:r>
        <w:rPr>
          <w:lang w:val="en-GB"/>
        </w:rPr>
        <w:t>BC12</w:t>
      </w:r>
    </w:p>
  </w:comment>
  <w:comment w:id="36" w:author="nyx" w:date="2026-05-06T06:33:00Z" w:initials="nyx">
    <w:p w14:paraId="7F79B041" w14:textId="77777777" w:rsidR="00E5210F" w:rsidRDefault="00E5210F" w:rsidP="00E5210F">
      <w:pPr>
        <w:pStyle w:val="CommentText"/>
      </w:pPr>
      <w:r>
        <w:rPr>
          <w:rStyle w:val="CommentReference"/>
        </w:rPr>
        <w:annotationRef/>
      </w:r>
      <w:r>
        <w:rPr>
          <w:lang w:val="en-GB"/>
        </w:rPr>
        <w:t>BC12</w:t>
      </w:r>
    </w:p>
  </w:comment>
  <w:comment w:id="25" w:author="nyx" w:date="2026-05-06T06:08:00Z" w:initials="nyx">
    <w:p w14:paraId="172F4C0D" w14:textId="77777777" w:rsidR="00195C8D" w:rsidRDefault="00195C8D" w:rsidP="00195C8D">
      <w:pPr>
        <w:pStyle w:val="CommentText"/>
      </w:pPr>
      <w:r>
        <w:rPr>
          <w:rStyle w:val="CommentReference"/>
        </w:rPr>
        <w:annotationRef/>
      </w:r>
      <w:r>
        <w:rPr>
          <w:lang w:val="en-GB"/>
        </w:rPr>
        <w:t>This is a summary, not an analysis</w:t>
      </w:r>
    </w:p>
    <w:p w14:paraId="0C853F5B" w14:textId="77777777" w:rsidR="00195C8D" w:rsidRDefault="00195C8D" w:rsidP="00195C8D">
      <w:pPr>
        <w:pStyle w:val="CommentText"/>
      </w:pPr>
      <w:r>
        <w:rPr>
          <w:lang w:val="en-GB"/>
        </w:rPr>
        <w:t>You need to analyse the case study;</w:t>
      </w:r>
    </w:p>
    <w:p w14:paraId="6EDC351C" w14:textId="77777777" w:rsidR="00195C8D" w:rsidRDefault="00195C8D" w:rsidP="00195C8D">
      <w:pPr>
        <w:pStyle w:val="CommentText"/>
      </w:pPr>
      <w:r>
        <w:rPr>
          <w:lang w:val="en-GB"/>
        </w:rPr>
        <w:t>Assess and critique the approaches used</w:t>
      </w:r>
    </w:p>
    <w:p w14:paraId="5F4F074C" w14:textId="77777777" w:rsidR="00195C8D" w:rsidRDefault="00195C8D" w:rsidP="00195C8D">
      <w:pPr>
        <w:pStyle w:val="CommentText"/>
      </w:pPr>
      <w:r>
        <w:rPr>
          <w:lang w:val="en-GB"/>
        </w:rPr>
        <w:t>BC8, BC9, BC10, BC22, BC33</w:t>
      </w:r>
    </w:p>
  </w:comment>
  <w:comment w:id="37" w:author="nyx" w:date="2026-05-06T06:08:00Z" w:initials="nyx">
    <w:p w14:paraId="195D1C9D" w14:textId="77777777" w:rsidR="004E04FD" w:rsidRDefault="004E04FD" w:rsidP="004E04FD">
      <w:pPr>
        <w:pStyle w:val="CommentText"/>
      </w:pPr>
      <w:r>
        <w:rPr>
          <w:rStyle w:val="CommentReference"/>
        </w:rPr>
        <w:annotationRef/>
      </w:r>
      <w:r>
        <w:rPr>
          <w:lang w:val="en-GB"/>
        </w:rPr>
        <w:t>BC20, BC18</w:t>
      </w:r>
    </w:p>
  </w:comment>
  <w:comment w:id="38" w:author="nyx" w:date="2026-05-06T06:08:00Z" w:initials="nyx">
    <w:p w14:paraId="1CB1BEA2" w14:textId="77777777" w:rsidR="004E04FD" w:rsidRDefault="004E04FD" w:rsidP="004E04FD">
      <w:pPr>
        <w:pStyle w:val="CommentText"/>
      </w:pPr>
      <w:r>
        <w:rPr>
          <w:rStyle w:val="CommentReference"/>
        </w:rPr>
        <w:annotationRef/>
      </w:r>
      <w:r>
        <w:rPr>
          <w:lang w:val="en-GB"/>
        </w:rPr>
        <w:t>BC13</w:t>
      </w:r>
    </w:p>
  </w:comment>
  <w:comment w:id="39" w:author="nyx" w:date="2026-05-06T06:09:00Z" w:initials="nyx">
    <w:p w14:paraId="3BDB6444" w14:textId="77777777" w:rsidR="004E04FD" w:rsidRDefault="004E04FD" w:rsidP="004E04FD">
      <w:pPr>
        <w:pStyle w:val="CommentText"/>
      </w:pPr>
      <w:r>
        <w:rPr>
          <w:rStyle w:val="CommentReference"/>
        </w:rPr>
        <w:annotationRef/>
      </w:r>
      <w:r>
        <w:rPr>
          <w:lang w:val="en-GB"/>
        </w:rPr>
        <w:t>BC13</w:t>
      </w:r>
    </w:p>
  </w:comment>
  <w:comment w:id="40" w:author="nyx" w:date="2026-05-06T06:08:00Z" w:initials="nyx">
    <w:p w14:paraId="20B7EC35" w14:textId="77777777" w:rsidR="004E04FD" w:rsidRDefault="004E04FD" w:rsidP="004E04FD">
      <w:pPr>
        <w:pStyle w:val="CommentText"/>
      </w:pPr>
      <w:r>
        <w:rPr>
          <w:rStyle w:val="CommentReference"/>
        </w:rPr>
        <w:annotationRef/>
      </w:r>
      <w:r>
        <w:rPr>
          <w:lang w:val="en-GB"/>
        </w:rPr>
        <w:t>BC17: the</w:t>
      </w:r>
    </w:p>
  </w:comment>
  <w:comment w:id="41" w:author="nyx" w:date="2026-05-06T06:08:00Z" w:initials="nyx">
    <w:p w14:paraId="4262ACF6" w14:textId="77777777" w:rsidR="004E04FD" w:rsidRDefault="004E04FD" w:rsidP="004E04FD">
      <w:pPr>
        <w:pStyle w:val="CommentText"/>
      </w:pPr>
      <w:r>
        <w:rPr>
          <w:rStyle w:val="CommentReference"/>
        </w:rPr>
        <w:annotationRef/>
      </w:r>
      <w:r>
        <w:rPr>
          <w:lang w:val="en-GB"/>
        </w:rPr>
        <w:t>BC9, BC33</w:t>
      </w:r>
    </w:p>
  </w:comment>
  <w:comment w:id="42" w:author="nyx" w:date="2026-05-06T06:09:00Z" w:initials="nyx">
    <w:p w14:paraId="3D583B86" w14:textId="77777777" w:rsidR="001A2BBD" w:rsidRDefault="001A2BBD" w:rsidP="001A2BBD">
      <w:pPr>
        <w:pStyle w:val="CommentText"/>
      </w:pPr>
      <w:r>
        <w:rPr>
          <w:rStyle w:val="CommentReference"/>
        </w:rPr>
        <w:annotationRef/>
      </w:r>
      <w:r>
        <w:rPr>
          <w:lang w:val="en-GB"/>
        </w:rPr>
        <w:t>BC13</w:t>
      </w:r>
    </w:p>
  </w:comment>
  <w:comment w:id="43" w:author="nyx" w:date="2026-05-06T06:09:00Z" w:initials="nyx">
    <w:p w14:paraId="63E8D879" w14:textId="77777777" w:rsidR="001A2BBD" w:rsidRDefault="001A2BBD" w:rsidP="001A2BBD">
      <w:pPr>
        <w:pStyle w:val="CommentText"/>
      </w:pPr>
      <w:r>
        <w:rPr>
          <w:rStyle w:val="CommentReference"/>
        </w:rPr>
        <w:annotationRef/>
      </w:r>
      <w:r>
        <w:rPr>
          <w:lang w:val="en-GB"/>
        </w:rPr>
        <w:t>BC13</w:t>
      </w:r>
    </w:p>
  </w:comment>
  <w:comment w:id="44" w:author="nyx" w:date="2026-05-06T06:09:00Z" w:initials="nyx">
    <w:p w14:paraId="0256F55A" w14:textId="77777777" w:rsidR="001A2BBD" w:rsidRDefault="001A2BBD" w:rsidP="001A2BBD">
      <w:pPr>
        <w:pStyle w:val="CommentText"/>
      </w:pPr>
      <w:r>
        <w:rPr>
          <w:rStyle w:val="CommentReference"/>
        </w:rPr>
        <w:annotationRef/>
      </w:r>
      <w:r>
        <w:rPr>
          <w:lang w:val="en-GB"/>
        </w:rPr>
        <w:t>BC13</w:t>
      </w:r>
    </w:p>
  </w:comment>
  <w:comment w:id="45" w:author="nyx" w:date="2026-05-06T06:33:00Z" w:initials="nyx">
    <w:p w14:paraId="38FF329F" w14:textId="77777777" w:rsidR="00E5210F" w:rsidRDefault="00E5210F" w:rsidP="00E5210F">
      <w:pPr>
        <w:pStyle w:val="CommentText"/>
      </w:pPr>
      <w:r>
        <w:rPr>
          <w:rStyle w:val="CommentReference"/>
        </w:rPr>
        <w:annotationRef/>
      </w:r>
      <w:r>
        <w:rPr>
          <w:lang w:val="en-GB"/>
        </w:rPr>
        <w:t>BC12</w:t>
      </w:r>
    </w:p>
  </w:comment>
  <w:comment w:id="46" w:author="nyx" w:date="2026-05-06T06:33:00Z" w:initials="nyx">
    <w:p w14:paraId="2EFDEEFC" w14:textId="77777777" w:rsidR="00E5210F" w:rsidRDefault="00E5210F" w:rsidP="00E5210F">
      <w:pPr>
        <w:pStyle w:val="CommentText"/>
      </w:pPr>
      <w:r>
        <w:rPr>
          <w:rStyle w:val="CommentReference"/>
        </w:rPr>
        <w:annotationRef/>
      </w:r>
      <w:r>
        <w:rPr>
          <w:lang w:val="en-GB"/>
        </w:rPr>
        <w:t>BC12</w:t>
      </w:r>
    </w:p>
  </w:comment>
  <w:comment w:id="47" w:author="nyx" w:date="2026-05-06T06:33:00Z" w:initials="nyx">
    <w:p w14:paraId="38D4047C" w14:textId="77777777" w:rsidR="00E5210F" w:rsidRDefault="00E5210F" w:rsidP="00E5210F">
      <w:pPr>
        <w:pStyle w:val="CommentText"/>
      </w:pPr>
      <w:r>
        <w:rPr>
          <w:rStyle w:val="CommentReference"/>
        </w:rPr>
        <w:annotationRef/>
      </w:r>
      <w:r>
        <w:rPr>
          <w:lang w:val="en-GB"/>
        </w:rPr>
        <w:t>BC12</w:t>
      </w:r>
    </w:p>
  </w:comment>
  <w:comment w:id="48" w:author="nyx" w:date="2026-05-06T06:09:00Z" w:initials="nyx">
    <w:p w14:paraId="1830AF15" w14:textId="77777777" w:rsidR="001A2BBD" w:rsidRDefault="001A2BBD" w:rsidP="001A2BBD">
      <w:pPr>
        <w:pStyle w:val="CommentText"/>
      </w:pPr>
      <w:r>
        <w:rPr>
          <w:rStyle w:val="CommentReference"/>
        </w:rPr>
        <w:annotationRef/>
      </w:r>
      <w:r>
        <w:rPr>
          <w:lang w:val="en-GB"/>
        </w:rPr>
        <w:t>BC12</w:t>
      </w:r>
    </w:p>
  </w:comment>
  <w:comment w:id="49" w:author="nyx" w:date="2026-05-06T06:34:00Z" w:initials="nyx">
    <w:p w14:paraId="018EAEC5" w14:textId="77777777" w:rsidR="00E5210F" w:rsidRDefault="00E5210F" w:rsidP="00E5210F">
      <w:pPr>
        <w:pStyle w:val="CommentText"/>
      </w:pPr>
      <w:r>
        <w:rPr>
          <w:rStyle w:val="CommentReference"/>
        </w:rPr>
        <w:annotationRef/>
      </w:r>
      <w:r>
        <w:rPr>
          <w:lang w:val="en-GB"/>
        </w:rPr>
        <w:t>BC12</w:t>
      </w:r>
    </w:p>
  </w:comment>
  <w:comment w:id="50" w:author="nyx" w:date="2026-05-06T06:10:00Z" w:initials="nyx">
    <w:p w14:paraId="543EF8F9" w14:textId="77777777" w:rsidR="001A2BBD" w:rsidRDefault="001A2BBD" w:rsidP="001A2BBD">
      <w:pPr>
        <w:pStyle w:val="CommentText"/>
      </w:pPr>
      <w:r>
        <w:rPr>
          <w:rStyle w:val="CommentReference"/>
        </w:rPr>
        <w:annotationRef/>
      </w:r>
      <w:r>
        <w:rPr>
          <w:lang w:val="en-GB"/>
        </w:rPr>
        <w:t>BC17: in</w:t>
      </w:r>
    </w:p>
  </w:comment>
  <w:comment w:id="51" w:author="nyx" w:date="2026-05-06T06:11:00Z" w:initials="nyx">
    <w:p w14:paraId="294BA3BC" w14:textId="77777777" w:rsidR="00346A74" w:rsidRDefault="00346A74" w:rsidP="00346A74">
      <w:pPr>
        <w:pStyle w:val="CommentText"/>
      </w:pPr>
      <w:r>
        <w:rPr>
          <w:rStyle w:val="CommentReference"/>
        </w:rPr>
        <w:annotationRef/>
      </w:r>
      <w:r>
        <w:rPr>
          <w:lang w:val="en-GB"/>
        </w:rPr>
        <w:t>BC17: the</w:t>
      </w:r>
    </w:p>
  </w:comment>
  <w:comment w:id="52" w:author="nyx" w:date="2026-05-06T06:11:00Z" w:initials="nyx">
    <w:p w14:paraId="3CF0A0C0" w14:textId="77777777" w:rsidR="00346A74" w:rsidRDefault="00346A74" w:rsidP="00346A74">
      <w:pPr>
        <w:pStyle w:val="CommentText"/>
      </w:pPr>
      <w:r>
        <w:rPr>
          <w:rStyle w:val="CommentReference"/>
        </w:rPr>
        <w:annotationRef/>
      </w:r>
      <w:r>
        <w:rPr>
          <w:lang w:val="en-GB"/>
        </w:rPr>
        <w:t>BC15: launch</w:t>
      </w:r>
    </w:p>
  </w:comment>
  <w:comment w:id="53" w:author="nyx" w:date="2026-05-06T06:11:00Z" w:initials="nyx">
    <w:p w14:paraId="70D33348" w14:textId="77777777" w:rsidR="00346A74" w:rsidRDefault="00346A74" w:rsidP="00346A74">
      <w:pPr>
        <w:pStyle w:val="CommentText"/>
      </w:pPr>
      <w:r>
        <w:rPr>
          <w:rStyle w:val="CommentReference"/>
        </w:rPr>
        <w:annotationRef/>
      </w:r>
      <w:r>
        <w:rPr>
          <w:lang w:val="en-GB"/>
        </w:rPr>
        <w:t>BC12</w:t>
      </w:r>
    </w:p>
  </w:comment>
  <w:comment w:id="54" w:author="nyx" w:date="2026-05-06T06:11:00Z" w:initials="nyx">
    <w:p w14:paraId="2BD50556" w14:textId="77777777" w:rsidR="00346A74" w:rsidRDefault="00346A74" w:rsidP="00346A74">
      <w:pPr>
        <w:pStyle w:val="CommentText"/>
      </w:pPr>
      <w:r>
        <w:rPr>
          <w:rStyle w:val="CommentReference"/>
        </w:rPr>
        <w:annotationRef/>
      </w:r>
      <w:r>
        <w:rPr>
          <w:lang w:val="en-GB"/>
        </w:rPr>
        <w:t>BC36</w:t>
      </w:r>
    </w:p>
  </w:comment>
  <w:comment w:id="55" w:author="nyx" w:date="2026-05-06T06:11:00Z" w:initials="nyx">
    <w:p w14:paraId="7074722F" w14:textId="77777777" w:rsidR="00346A74" w:rsidRDefault="00346A74" w:rsidP="00346A74">
      <w:pPr>
        <w:pStyle w:val="CommentText"/>
      </w:pPr>
      <w:r>
        <w:rPr>
          <w:rStyle w:val="CommentReference"/>
        </w:rPr>
        <w:annotationRef/>
      </w:r>
      <w:r>
        <w:rPr>
          <w:lang w:val="en-GB"/>
        </w:rPr>
        <w:t>BC17</w:t>
      </w:r>
    </w:p>
  </w:comment>
  <w:comment w:id="56" w:author="nyx" w:date="2026-05-06T06:12:00Z" w:initials="nyx">
    <w:p w14:paraId="06CC3162" w14:textId="77777777" w:rsidR="00346A74" w:rsidRDefault="00346A74" w:rsidP="00346A74">
      <w:pPr>
        <w:pStyle w:val="CommentText"/>
      </w:pPr>
      <w:r>
        <w:rPr>
          <w:rStyle w:val="CommentReference"/>
        </w:rPr>
        <w:annotationRef/>
      </w:r>
      <w:r>
        <w:rPr>
          <w:lang w:val="en-GB"/>
        </w:rPr>
        <w:t>BC16, BC20, BC33</w:t>
      </w:r>
    </w:p>
  </w:comment>
  <w:comment w:id="57" w:author="nyx" w:date="2026-05-06T06:12:00Z" w:initials="nyx">
    <w:p w14:paraId="267FEC5B" w14:textId="77777777" w:rsidR="00346A74" w:rsidRDefault="00346A74" w:rsidP="00346A74">
      <w:pPr>
        <w:pStyle w:val="CommentText"/>
      </w:pPr>
      <w:r>
        <w:rPr>
          <w:rStyle w:val="CommentReference"/>
        </w:rPr>
        <w:annotationRef/>
      </w:r>
      <w:r>
        <w:rPr>
          <w:lang w:val="en-GB"/>
        </w:rPr>
        <w:t>BC13</w:t>
      </w:r>
    </w:p>
  </w:comment>
  <w:comment w:id="58" w:author="nyx" w:date="2026-05-06T06:13:00Z" w:initials="nyx">
    <w:p w14:paraId="1C5C9474" w14:textId="77777777" w:rsidR="001D18B3" w:rsidRDefault="001D18B3" w:rsidP="001D18B3">
      <w:pPr>
        <w:pStyle w:val="CommentText"/>
      </w:pPr>
      <w:r>
        <w:rPr>
          <w:rStyle w:val="CommentReference"/>
        </w:rPr>
        <w:annotationRef/>
      </w:r>
      <w:r>
        <w:rPr>
          <w:lang w:val="en-GB"/>
        </w:rPr>
        <w:t>Conclusion?</w:t>
      </w:r>
    </w:p>
    <w:p w14:paraId="26B7F75D" w14:textId="77777777" w:rsidR="001D18B3" w:rsidRDefault="001D18B3" w:rsidP="001D18B3">
      <w:pPr>
        <w:pStyle w:val="CommentText"/>
      </w:pPr>
      <w:r>
        <w:rPr>
          <w:lang w:val="en-GB"/>
        </w:rPr>
        <w:t>This paper currently seems incomplete</w:t>
      </w:r>
    </w:p>
    <w:p w14:paraId="4EF9FE48" w14:textId="77777777" w:rsidR="001D18B3" w:rsidRDefault="001D18B3" w:rsidP="001D18B3">
      <w:pPr>
        <w:pStyle w:val="CommentText"/>
      </w:pPr>
      <w:r>
        <w:rPr>
          <w:lang w:val="en-GB"/>
        </w:rPr>
        <w:t>BC22</w:t>
      </w:r>
    </w:p>
  </w:comment>
  <w:comment w:id="59" w:author="nyx" w:date="2026-05-06T06:35:00Z" w:initials="nyx">
    <w:p w14:paraId="25343CC8" w14:textId="77777777" w:rsidR="009800D0" w:rsidRDefault="009800D0" w:rsidP="009800D0">
      <w:pPr>
        <w:pStyle w:val="CommentText"/>
      </w:pPr>
      <w:r>
        <w:rPr>
          <w:rStyle w:val="CommentReference"/>
        </w:rPr>
        <w:annotationRef/>
      </w:r>
      <w:r>
        <w:rPr>
          <w:lang w:val="en-GB"/>
        </w:rPr>
        <w:t>This is not required.. The description needs to be in the paper, not in the appendix</w:t>
      </w:r>
    </w:p>
    <w:p w14:paraId="6B10077B" w14:textId="77777777" w:rsidR="009800D0" w:rsidRDefault="009800D0" w:rsidP="009800D0">
      <w:pPr>
        <w:pStyle w:val="CommentText"/>
      </w:pPr>
      <w:r>
        <w:rPr>
          <w:lang w:val="en-GB"/>
        </w:rPr>
        <w:t>BC9, BC18, BC22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C4EC60" w15:done="0"/>
  <w15:commentEx w15:paraId="6B4C74CE" w15:done="0"/>
  <w15:commentEx w15:paraId="5D2BD107" w15:done="0"/>
  <w15:commentEx w15:paraId="632475A0" w15:done="0"/>
  <w15:commentEx w15:paraId="408C70E9" w15:done="0"/>
  <w15:commentEx w15:paraId="734FF6D7" w15:done="0"/>
  <w15:commentEx w15:paraId="16BA2714" w15:done="0"/>
  <w15:commentEx w15:paraId="434170D7" w15:done="0"/>
  <w15:commentEx w15:paraId="2C0584B3" w15:done="0"/>
  <w15:commentEx w15:paraId="360925EE" w15:done="0"/>
  <w15:commentEx w15:paraId="647839E9" w15:done="0"/>
  <w15:commentEx w15:paraId="3AE66EAF" w15:done="0"/>
  <w15:commentEx w15:paraId="02AD956F" w15:done="0"/>
  <w15:commentEx w15:paraId="173D43CF" w15:done="0"/>
  <w15:commentEx w15:paraId="64011613" w15:done="0"/>
  <w15:commentEx w15:paraId="360AD5B4" w15:done="0"/>
  <w15:commentEx w15:paraId="4A30CBBC" w15:done="0"/>
  <w15:commentEx w15:paraId="3EE8360D" w15:done="0"/>
  <w15:commentEx w15:paraId="1E1A32D4" w15:done="0"/>
  <w15:commentEx w15:paraId="7628918D" w15:done="0"/>
  <w15:commentEx w15:paraId="793E5AED" w15:done="0"/>
  <w15:commentEx w15:paraId="605D07D4" w15:done="0"/>
  <w15:commentEx w15:paraId="4897C206" w15:done="0"/>
  <w15:commentEx w15:paraId="6B58B316" w15:done="0"/>
  <w15:commentEx w15:paraId="3DFE2AD1" w15:done="0"/>
  <w15:commentEx w15:paraId="6784AA33" w15:done="0"/>
  <w15:commentEx w15:paraId="313F4575" w15:done="0"/>
  <w15:commentEx w15:paraId="05BD4688" w15:done="0"/>
  <w15:commentEx w15:paraId="13F93FAC" w15:done="0"/>
  <w15:commentEx w15:paraId="379A2060" w15:done="0"/>
  <w15:commentEx w15:paraId="39887862" w15:done="0"/>
  <w15:commentEx w15:paraId="796856A3" w15:done="0"/>
  <w15:commentEx w15:paraId="0AEEEF5B" w15:done="0"/>
  <w15:commentEx w15:paraId="74040933" w15:done="0"/>
  <w15:commentEx w15:paraId="4CC818D9" w15:done="0"/>
  <w15:commentEx w15:paraId="7F79B041" w15:done="0"/>
  <w15:commentEx w15:paraId="5F4F074C" w15:done="0"/>
  <w15:commentEx w15:paraId="195D1C9D" w15:done="0"/>
  <w15:commentEx w15:paraId="1CB1BEA2" w15:done="0"/>
  <w15:commentEx w15:paraId="3BDB6444" w15:done="0"/>
  <w15:commentEx w15:paraId="20B7EC35" w15:done="0"/>
  <w15:commentEx w15:paraId="4262ACF6" w15:done="0"/>
  <w15:commentEx w15:paraId="3D583B86" w15:done="0"/>
  <w15:commentEx w15:paraId="63E8D879" w15:done="0"/>
  <w15:commentEx w15:paraId="0256F55A" w15:done="0"/>
  <w15:commentEx w15:paraId="38FF329F" w15:done="0"/>
  <w15:commentEx w15:paraId="2EFDEEFC" w15:done="0"/>
  <w15:commentEx w15:paraId="38D4047C" w15:done="0"/>
  <w15:commentEx w15:paraId="1830AF15" w15:done="0"/>
  <w15:commentEx w15:paraId="018EAEC5" w15:done="0"/>
  <w15:commentEx w15:paraId="543EF8F9" w15:done="0"/>
  <w15:commentEx w15:paraId="294BA3BC" w15:done="0"/>
  <w15:commentEx w15:paraId="3CF0A0C0" w15:done="0"/>
  <w15:commentEx w15:paraId="70D33348" w15:done="0"/>
  <w15:commentEx w15:paraId="2BD50556" w15:done="0"/>
  <w15:commentEx w15:paraId="7074722F" w15:done="0"/>
  <w15:commentEx w15:paraId="06CC3162" w15:done="0"/>
  <w15:commentEx w15:paraId="267FEC5B" w15:done="0"/>
  <w15:commentEx w15:paraId="4EF9FE48" w15:done="0"/>
  <w15:commentEx w15:paraId="6B1007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439ECD" w16cex:dateUtc="2026-05-05T22:18:00Z"/>
  <w16cex:commentExtensible w16cex:durableId="5AB7D4FE" w16cex:dateUtc="2026-05-05T22:18:00Z"/>
  <w16cex:commentExtensible w16cex:durableId="4DF871ED" w16cex:dateUtc="2026-05-05T22:19:00Z"/>
  <w16cex:commentExtensible w16cex:durableId="6CC00325" w16cex:dateUtc="2026-05-06T01:35:00Z"/>
  <w16cex:commentExtensible w16cex:durableId="08EE69D8" w16cex:dateUtc="2026-05-05T22:20:00Z"/>
  <w16cex:commentExtensible w16cex:durableId="3760805A" w16cex:dateUtc="2026-05-05T22:24:00Z"/>
  <w16cex:commentExtensible w16cex:durableId="15C4740A" w16cex:dateUtc="2026-05-05T22:51:00Z"/>
  <w16cex:commentExtensible w16cex:durableId="554B1628" w16cex:dateUtc="2026-05-05T22:52:00Z"/>
  <w16cex:commentExtensible w16cex:durableId="56D7DA2B" w16cex:dateUtc="2026-05-05T22:52:00Z"/>
  <w16cex:commentExtensible w16cex:durableId="4698B019" w16cex:dateUtc="2026-05-05T22:52:00Z"/>
  <w16cex:commentExtensible w16cex:durableId="3FAECB81" w16cex:dateUtc="2026-05-05T22:53:00Z"/>
  <w16cex:commentExtensible w16cex:durableId="1B570246" w16cex:dateUtc="2026-05-05T22:53:00Z"/>
  <w16cex:commentExtensible w16cex:durableId="110AEC84" w16cex:dateUtc="2026-05-05T22:53:00Z"/>
  <w16cex:commentExtensible w16cex:durableId="5A0E5E30" w16cex:dateUtc="2026-05-05T23:10:00Z"/>
  <w16cex:commentExtensible w16cex:durableId="1FA8EC0C" w16cex:dateUtc="2026-05-05T22:54:00Z"/>
  <w16cex:commentExtensible w16cex:durableId="71776114" w16cex:dateUtc="2026-05-05T23:12:00Z"/>
  <w16cex:commentExtensible w16cex:durableId="1051C4BC" w16cex:dateUtc="2026-05-05T23:12:00Z"/>
  <w16cex:commentExtensible w16cex:durableId="6A651826" w16cex:dateUtc="2026-05-05T23:11:00Z"/>
  <w16cex:commentExtensible w16cex:durableId="0C0FDFBC" w16cex:dateUtc="2026-05-06T01:34:00Z"/>
  <w16cex:commentExtensible w16cex:durableId="497CB148" w16cex:dateUtc="2026-05-05T23:19:00Z"/>
  <w16cex:commentExtensible w16cex:durableId="177CD608" w16cex:dateUtc="2026-05-05T23:20:00Z"/>
  <w16cex:commentExtensible w16cex:durableId="029CBF72" w16cex:dateUtc="2026-05-05T23:20:00Z"/>
  <w16cex:commentExtensible w16cex:durableId="36417BF9" w16cex:dateUtc="2026-05-06T00:55:00Z"/>
  <w16cex:commentExtensible w16cex:durableId="1B69BFD9" w16cex:dateUtc="2026-05-05T23:20:00Z"/>
  <w16cex:commentExtensible w16cex:durableId="36109039" w16cex:dateUtc="2026-05-05T23:21:00Z"/>
  <w16cex:commentExtensible w16cex:durableId="253B1430" w16cex:dateUtc="2026-05-05T23:21:00Z"/>
  <w16cex:commentExtensible w16cex:durableId="7F3FE8B7" w16cex:dateUtc="2026-05-05T23:26:00Z"/>
  <w16cex:commentExtensible w16cex:durableId="2DE68209" w16cex:dateUtc="2026-05-05T23:26:00Z"/>
  <w16cex:commentExtensible w16cex:durableId="5D2ACCA0" w16cex:dateUtc="2026-05-05T23:26:00Z"/>
  <w16cex:commentExtensible w16cex:durableId="31A0697B" w16cex:dateUtc="2026-05-06T01:02:00Z"/>
  <w16cex:commentExtensible w16cex:durableId="095E59BB" w16cex:dateUtc="2026-05-05T23:27:00Z"/>
  <w16cex:commentExtensible w16cex:durableId="41ABB0F2" w16cex:dateUtc="2026-05-06T01:02:00Z"/>
  <w16cex:commentExtensible w16cex:durableId="6ACCE482" w16cex:dateUtc="2026-05-06T01:04:00Z"/>
  <w16cex:commentExtensible w16cex:durableId="5BD02F19" w16cex:dateUtc="2026-05-06T01:05:00Z"/>
  <w16cex:commentExtensible w16cex:durableId="5301117C" w16cex:dateUtc="2026-05-06T01:05:00Z"/>
  <w16cex:commentExtensible w16cex:durableId="1FA5CD8B" w16cex:dateUtc="2026-05-06T01:33:00Z"/>
  <w16cex:commentExtensible w16cex:durableId="65B94830" w16cex:dateUtc="2026-05-06T01:08:00Z"/>
  <w16cex:commentExtensible w16cex:durableId="68443E6C" w16cex:dateUtc="2026-05-06T01:08:00Z"/>
  <w16cex:commentExtensible w16cex:durableId="337E10C6" w16cex:dateUtc="2026-05-06T01:08:00Z"/>
  <w16cex:commentExtensible w16cex:durableId="178F9D3A" w16cex:dateUtc="2026-05-06T01:09:00Z"/>
  <w16cex:commentExtensible w16cex:durableId="4BA6D60B" w16cex:dateUtc="2026-05-06T01:08:00Z"/>
  <w16cex:commentExtensible w16cex:durableId="05DBE622" w16cex:dateUtc="2026-05-06T01:08:00Z"/>
  <w16cex:commentExtensible w16cex:durableId="1DCE3CC7" w16cex:dateUtc="2026-05-06T01:09:00Z"/>
  <w16cex:commentExtensible w16cex:durableId="77EFB057" w16cex:dateUtc="2026-05-06T01:09:00Z"/>
  <w16cex:commentExtensible w16cex:durableId="5089DDF5" w16cex:dateUtc="2026-05-06T01:09:00Z"/>
  <w16cex:commentExtensible w16cex:durableId="2DA51230" w16cex:dateUtc="2026-05-06T01:33:00Z"/>
  <w16cex:commentExtensible w16cex:durableId="0AAA7974" w16cex:dateUtc="2026-05-06T01:33:00Z"/>
  <w16cex:commentExtensible w16cex:durableId="5D60C273" w16cex:dateUtc="2026-05-06T01:33:00Z"/>
  <w16cex:commentExtensible w16cex:durableId="351097FA" w16cex:dateUtc="2026-05-06T01:09:00Z"/>
  <w16cex:commentExtensible w16cex:durableId="7DCF6ABE" w16cex:dateUtc="2026-05-06T01:34:00Z"/>
  <w16cex:commentExtensible w16cex:durableId="49F51FC0" w16cex:dateUtc="2026-05-06T01:10:00Z"/>
  <w16cex:commentExtensible w16cex:durableId="72D462FF" w16cex:dateUtc="2026-05-06T01:11:00Z"/>
  <w16cex:commentExtensible w16cex:durableId="2D08DA84" w16cex:dateUtc="2026-05-06T01:11:00Z"/>
  <w16cex:commentExtensible w16cex:durableId="60DBA786" w16cex:dateUtc="2026-05-06T01:11:00Z"/>
  <w16cex:commentExtensible w16cex:durableId="1C527C31" w16cex:dateUtc="2026-05-06T01:11:00Z"/>
  <w16cex:commentExtensible w16cex:durableId="0DA71247" w16cex:dateUtc="2026-05-06T01:11:00Z"/>
  <w16cex:commentExtensible w16cex:durableId="55C0A19A" w16cex:dateUtc="2026-05-06T01:12:00Z"/>
  <w16cex:commentExtensible w16cex:durableId="0508D2F2" w16cex:dateUtc="2026-05-06T01:12:00Z"/>
  <w16cex:commentExtensible w16cex:durableId="7B86F8D1" w16cex:dateUtc="2026-05-06T01:13:00Z"/>
  <w16cex:commentExtensible w16cex:durableId="22833C19" w16cex:dateUtc="2026-05-06T01: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C4EC60" w16cid:durableId="46439ECD"/>
  <w16cid:commentId w16cid:paraId="6B4C74CE" w16cid:durableId="5AB7D4FE"/>
  <w16cid:commentId w16cid:paraId="5D2BD107" w16cid:durableId="4DF871ED"/>
  <w16cid:commentId w16cid:paraId="632475A0" w16cid:durableId="6CC00325"/>
  <w16cid:commentId w16cid:paraId="408C70E9" w16cid:durableId="08EE69D8"/>
  <w16cid:commentId w16cid:paraId="734FF6D7" w16cid:durableId="3760805A"/>
  <w16cid:commentId w16cid:paraId="16BA2714" w16cid:durableId="15C4740A"/>
  <w16cid:commentId w16cid:paraId="434170D7" w16cid:durableId="554B1628"/>
  <w16cid:commentId w16cid:paraId="2C0584B3" w16cid:durableId="56D7DA2B"/>
  <w16cid:commentId w16cid:paraId="360925EE" w16cid:durableId="4698B019"/>
  <w16cid:commentId w16cid:paraId="647839E9" w16cid:durableId="3FAECB81"/>
  <w16cid:commentId w16cid:paraId="3AE66EAF" w16cid:durableId="1B570246"/>
  <w16cid:commentId w16cid:paraId="02AD956F" w16cid:durableId="110AEC84"/>
  <w16cid:commentId w16cid:paraId="173D43CF" w16cid:durableId="5A0E5E30"/>
  <w16cid:commentId w16cid:paraId="64011613" w16cid:durableId="1FA8EC0C"/>
  <w16cid:commentId w16cid:paraId="360AD5B4" w16cid:durableId="71776114"/>
  <w16cid:commentId w16cid:paraId="4A30CBBC" w16cid:durableId="1051C4BC"/>
  <w16cid:commentId w16cid:paraId="3EE8360D" w16cid:durableId="6A651826"/>
  <w16cid:commentId w16cid:paraId="1E1A32D4" w16cid:durableId="0C0FDFBC"/>
  <w16cid:commentId w16cid:paraId="7628918D" w16cid:durableId="497CB148"/>
  <w16cid:commentId w16cid:paraId="793E5AED" w16cid:durableId="177CD608"/>
  <w16cid:commentId w16cid:paraId="605D07D4" w16cid:durableId="029CBF72"/>
  <w16cid:commentId w16cid:paraId="4897C206" w16cid:durableId="36417BF9"/>
  <w16cid:commentId w16cid:paraId="6B58B316" w16cid:durableId="1B69BFD9"/>
  <w16cid:commentId w16cid:paraId="3DFE2AD1" w16cid:durableId="36109039"/>
  <w16cid:commentId w16cid:paraId="6784AA33" w16cid:durableId="253B1430"/>
  <w16cid:commentId w16cid:paraId="313F4575" w16cid:durableId="7F3FE8B7"/>
  <w16cid:commentId w16cid:paraId="05BD4688" w16cid:durableId="2DE68209"/>
  <w16cid:commentId w16cid:paraId="13F93FAC" w16cid:durableId="5D2ACCA0"/>
  <w16cid:commentId w16cid:paraId="379A2060" w16cid:durableId="31A0697B"/>
  <w16cid:commentId w16cid:paraId="39887862" w16cid:durableId="095E59BB"/>
  <w16cid:commentId w16cid:paraId="796856A3" w16cid:durableId="41ABB0F2"/>
  <w16cid:commentId w16cid:paraId="0AEEEF5B" w16cid:durableId="6ACCE482"/>
  <w16cid:commentId w16cid:paraId="74040933" w16cid:durableId="5BD02F19"/>
  <w16cid:commentId w16cid:paraId="4CC818D9" w16cid:durableId="5301117C"/>
  <w16cid:commentId w16cid:paraId="7F79B041" w16cid:durableId="1FA5CD8B"/>
  <w16cid:commentId w16cid:paraId="5F4F074C" w16cid:durableId="65B94830"/>
  <w16cid:commentId w16cid:paraId="195D1C9D" w16cid:durableId="68443E6C"/>
  <w16cid:commentId w16cid:paraId="1CB1BEA2" w16cid:durableId="337E10C6"/>
  <w16cid:commentId w16cid:paraId="3BDB6444" w16cid:durableId="178F9D3A"/>
  <w16cid:commentId w16cid:paraId="20B7EC35" w16cid:durableId="4BA6D60B"/>
  <w16cid:commentId w16cid:paraId="4262ACF6" w16cid:durableId="05DBE622"/>
  <w16cid:commentId w16cid:paraId="3D583B86" w16cid:durableId="1DCE3CC7"/>
  <w16cid:commentId w16cid:paraId="63E8D879" w16cid:durableId="77EFB057"/>
  <w16cid:commentId w16cid:paraId="0256F55A" w16cid:durableId="5089DDF5"/>
  <w16cid:commentId w16cid:paraId="38FF329F" w16cid:durableId="2DA51230"/>
  <w16cid:commentId w16cid:paraId="2EFDEEFC" w16cid:durableId="0AAA7974"/>
  <w16cid:commentId w16cid:paraId="38D4047C" w16cid:durableId="5D60C273"/>
  <w16cid:commentId w16cid:paraId="1830AF15" w16cid:durableId="351097FA"/>
  <w16cid:commentId w16cid:paraId="018EAEC5" w16cid:durableId="7DCF6ABE"/>
  <w16cid:commentId w16cid:paraId="543EF8F9" w16cid:durableId="49F51FC0"/>
  <w16cid:commentId w16cid:paraId="294BA3BC" w16cid:durableId="72D462FF"/>
  <w16cid:commentId w16cid:paraId="3CF0A0C0" w16cid:durableId="2D08DA84"/>
  <w16cid:commentId w16cid:paraId="70D33348" w16cid:durableId="60DBA786"/>
  <w16cid:commentId w16cid:paraId="2BD50556" w16cid:durableId="1C527C31"/>
  <w16cid:commentId w16cid:paraId="7074722F" w16cid:durableId="0DA71247"/>
  <w16cid:commentId w16cid:paraId="06CC3162" w16cid:durableId="55C0A19A"/>
  <w16cid:commentId w16cid:paraId="267FEC5B" w16cid:durableId="0508D2F2"/>
  <w16cid:commentId w16cid:paraId="4EF9FE48" w16cid:durableId="7B86F8D1"/>
  <w16cid:commentId w16cid:paraId="6B10077B" w16cid:durableId="22833C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3B2E" w14:textId="77777777" w:rsidR="0026266C" w:rsidRPr="008D1972" w:rsidRDefault="0026266C" w:rsidP="00981176">
      <w:pPr>
        <w:spacing w:after="0" w:line="240" w:lineRule="auto"/>
      </w:pPr>
      <w:r w:rsidRPr="008D1972">
        <w:separator/>
      </w:r>
    </w:p>
  </w:endnote>
  <w:endnote w:type="continuationSeparator" w:id="0">
    <w:p w14:paraId="1012CDA8" w14:textId="77777777" w:rsidR="0026266C" w:rsidRPr="008D1972" w:rsidRDefault="0026266C" w:rsidP="00981176">
      <w:pPr>
        <w:spacing w:after="0" w:line="240" w:lineRule="auto"/>
      </w:pPr>
      <w:r w:rsidRPr="008D19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0E725" w14:textId="77777777" w:rsidR="0026266C" w:rsidRPr="008D1972" w:rsidRDefault="0026266C" w:rsidP="00981176">
      <w:pPr>
        <w:spacing w:after="0" w:line="240" w:lineRule="auto"/>
      </w:pPr>
      <w:r w:rsidRPr="008D1972">
        <w:separator/>
      </w:r>
    </w:p>
  </w:footnote>
  <w:footnote w:type="continuationSeparator" w:id="0">
    <w:p w14:paraId="571ACCFE" w14:textId="77777777" w:rsidR="0026266C" w:rsidRPr="008D1972" w:rsidRDefault="0026266C" w:rsidP="00981176">
      <w:pPr>
        <w:spacing w:after="0" w:line="240" w:lineRule="auto"/>
      </w:pPr>
      <w:r w:rsidRPr="008D19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39084691"/>
      <w:docPartObj>
        <w:docPartGallery w:val="Page Numbers (Top of Page)"/>
        <w:docPartUnique/>
      </w:docPartObj>
    </w:sdtPr>
    <w:sdtContent>
      <w:p w14:paraId="33D4BA37" w14:textId="0C0A7C85" w:rsidR="00981176" w:rsidRPr="008D1972" w:rsidRDefault="00981176">
        <w:pPr>
          <w:pStyle w:val="Header"/>
          <w:jc w:val="right"/>
          <w:rPr>
            <w:rFonts w:ascii="Times New Roman" w:hAnsi="Times New Roman" w:cs="Times New Roman"/>
            <w:sz w:val="24"/>
            <w:szCs w:val="24"/>
          </w:rPr>
        </w:pPr>
        <w:r w:rsidRPr="008D1972">
          <w:rPr>
            <w:rFonts w:ascii="Times New Roman" w:hAnsi="Times New Roman" w:cs="Times New Roman"/>
            <w:sz w:val="24"/>
            <w:szCs w:val="24"/>
          </w:rPr>
          <w:fldChar w:fldCharType="begin"/>
        </w:r>
        <w:r w:rsidRPr="008D1972">
          <w:rPr>
            <w:rFonts w:ascii="Times New Roman" w:hAnsi="Times New Roman" w:cs="Times New Roman"/>
            <w:sz w:val="24"/>
            <w:szCs w:val="24"/>
          </w:rPr>
          <w:instrText xml:space="preserve"> PAGE   \* MERGEFORMAT </w:instrText>
        </w:r>
        <w:r w:rsidRPr="008D1972">
          <w:rPr>
            <w:rFonts w:ascii="Times New Roman" w:hAnsi="Times New Roman" w:cs="Times New Roman"/>
            <w:sz w:val="24"/>
            <w:szCs w:val="24"/>
          </w:rPr>
          <w:fldChar w:fldCharType="separate"/>
        </w:r>
        <w:r w:rsidRPr="008D1972">
          <w:rPr>
            <w:rFonts w:ascii="Times New Roman" w:hAnsi="Times New Roman" w:cs="Times New Roman"/>
            <w:sz w:val="24"/>
            <w:szCs w:val="24"/>
          </w:rPr>
          <w:t>2</w:t>
        </w:r>
        <w:r w:rsidRPr="008D1972">
          <w:rPr>
            <w:rFonts w:ascii="Times New Roman" w:hAnsi="Times New Roman" w:cs="Times New Roman"/>
            <w:sz w:val="24"/>
            <w:szCs w:val="24"/>
          </w:rPr>
          <w:fldChar w:fldCharType="end"/>
        </w:r>
      </w:p>
    </w:sdtContent>
  </w:sdt>
  <w:p w14:paraId="7BE1B3CA" w14:textId="77777777" w:rsidR="00981176" w:rsidRPr="008D1972"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o1oABH8eUywAAAA="/>
  </w:docVars>
  <w:rsids>
    <w:rsidRoot w:val="00F53E10"/>
    <w:rsid w:val="00023D8A"/>
    <w:rsid w:val="000A2082"/>
    <w:rsid w:val="000B5ED5"/>
    <w:rsid w:val="001453D2"/>
    <w:rsid w:val="001823FE"/>
    <w:rsid w:val="00195C8D"/>
    <w:rsid w:val="001A2BBD"/>
    <w:rsid w:val="001D18B3"/>
    <w:rsid w:val="001E3F20"/>
    <w:rsid w:val="00245F1F"/>
    <w:rsid w:val="00260162"/>
    <w:rsid w:val="0026266C"/>
    <w:rsid w:val="002D5EF2"/>
    <w:rsid w:val="00302E91"/>
    <w:rsid w:val="00346A74"/>
    <w:rsid w:val="003745D9"/>
    <w:rsid w:val="003E7706"/>
    <w:rsid w:val="003F33D8"/>
    <w:rsid w:val="0041249E"/>
    <w:rsid w:val="00482DA5"/>
    <w:rsid w:val="00486B21"/>
    <w:rsid w:val="004A335F"/>
    <w:rsid w:val="004E04FD"/>
    <w:rsid w:val="00510DD4"/>
    <w:rsid w:val="005372CF"/>
    <w:rsid w:val="00553834"/>
    <w:rsid w:val="00594683"/>
    <w:rsid w:val="005A4AEB"/>
    <w:rsid w:val="005D191F"/>
    <w:rsid w:val="005E3560"/>
    <w:rsid w:val="006009DF"/>
    <w:rsid w:val="00603F96"/>
    <w:rsid w:val="00622BF1"/>
    <w:rsid w:val="00646202"/>
    <w:rsid w:val="0067539B"/>
    <w:rsid w:val="00680E5B"/>
    <w:rsid w:val="006A136A"/>
    <w:rsid w:val="006A6338"/>
    <w:rsid w:val="00702E87"/>
    <w:rsid w:val="00753056"/>
    <w:rsid w:val="00753295"/>
    <w:rsid w:val="0079762B"/>
    <w:rsid w:val="007F0277"/>
    <w:rsid w:val="007F421C"/>
    <w:rsid w:val="008D1972"/>
    <w:rsid w:val="00901361"/>
    <w:rsid w:val="00921EC0"/>
    <w:rsid w:val="00942476"/>
    <w:rsid w:val="009800D0"/>
    <w:rsid w:val="00981176"/>
    <w:rsid w:val="00994DFE"/>
    <w:rsid w:val="00A17C00"/>
    <w:rsid w:val="00A37ECE"/>
    <w:rsid w:val="00A9243B"/>
    <w:rsid w:val="00B16F71"/>
    <w:rsid w:val="00B3404F"/>
    <w:rsid w:val="00B45F07"/>
    <w:rsid w:val="00B47AA4"/>
    <w:rsid w:val="00B86D76"/>
    <w:rsid w:val="00CA265F"/>
    <w:rsid w:val="00CE18BA"/>
    <w:rsid w:val="00D0670F"/>
    <w:rsid w:val="00D21C7B"/>
    <w:rsid w:val="00D27F08"/>
    <w:rsid w:val="00D4613D"/>
    <w:rsid w:val="00D74F6B"/>
    <w:rsid w:val="00E13395"/>
    <w:rsid w:val="00E5210F"/>
    <w:rsid w:val="00EF0999"/>
    <w:rsid w:val="00F400EA"/>
    <w:rsid w:val="00F53E10"/>
    <w:rsid w:val="00F8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D21C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 w:type="character" w:customStyle="1" w:styleId="Heading3Char">
    <w:name w:val="Heading 3 Char"/>
    <w:basedOn w:val="DefaultParagraphFont"/>
    <w:link w:val="Heading3"/>
    <w:uiPriority w:val="9"/>
    <w:semiHidden/>
    <w:rsid w:val="00D21C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35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352654572">
      <w:bodyDiv w:val="1"/>
      <w:marLeft w:val="0"/>
      <w:marRight w:val="0"/>
      <w:marTop w:val="0"/>
      <w:marBottom w:val="0"/>
      <w:divBdr>
        <w:top w:val="none" w:sz="0" w:space="0" w:color="auto"/>
        <w:left w:val="none" w:sz="0" w:space="0" w:color="auto"/>
        <w:bottom w:val="none" w:sz="0" w:space="0" w:color="auto"/>
        <w:right w:val="none" w:sz="0" w:space="0" w:color="auto"/>
      </w:divBdr>
      <w:divsChild>
        <w:div w:id="660625985">
          <w:marLeft w:val="0"/>
          <w:marRight w:val="0"/>
          <w:marTop w:val="0"/>
          <w:marBottom w:val="0"/>
          <w:divBdr>
            <w:top w:val="none" w:sz="0" w:space="0" w:color="auto"/>
            <w:left w:val="none" w:sz="0" w:space="0" w:color="auto"/>
            <w:bottom w:val="none" w:sz="0" w:space="0" w:color="auto"/>
            <w:right w:val="none" w:sz="0" w:space="0" w:color="auto"/>
          </w:divBdr>
        </w:div>
      </w:divsChild>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48393012">
      <w:bodyDiv w:val="1"/>
      <w:marLeft w:val="0"/>
      <w:marRight w:val="0"/>
      <w:marTop w:val="0"/>
      <w:marBottom w:val="0"/>
      <w:divBdr>
        <w:top w:val="none" w:sz="0" w:space="0" w:color="auto"/>
        <w:left w:val="none" w:sz="0" w:space="0" w:color="auto"/>
        <w:bottom w:val="none" w:sz="0" w:space="0" w:color="auto"/>
        <w:right w:val="none" w:sz="0" w:space="0" w:color="auto"/>
      </w:divBdr>
      <w:divsChild>
        <w:div w:id="1784299197">
          <w:marLeft w:val="0"/>
          <w:marRight w:val="0"/>
          <w:marTop w:val="0"/>
          <w:marBottom w:val="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77/140349482199370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doi.org/10.1016/j.tre.2020.1019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15623599.2013.87527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86/tmsd_00051_1" TargetMode="External"/><Relationship Id="rId5" Type="http://schemas.openxmlformats.org/officeDocument/2006/relationships/footnotes" Target="footnotes.xml"/><Relationship Id="rId15" Type="http://schemas.openxmlformats.org/officeDocument/2006/relationships/hyperlink" Target="https://doi.org/10.1016/j.jum.2021.04.001"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386/tmsd_00069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11</Pages>
  <Words>5462</Words>
  <Characters>31136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nyx</cp:lastModifiedBy>
  <cp:revision>36</cp:revision>
  <dcterms:created xsi:type="dcterms:W3CDTF">2026-05-05T21:55:00Z</dcterms:created>
  <dcterms:modified xsi:type="dcterms:W3CDTF">2026-05-06T01:36:00Z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id="E8EmdHL0"/&gt;&lt;style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