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D3DD" w14:textId="77777777" w:rsidR="00F36C2C" w:rsidRPr="00FB4543" w:rsidRDefault="00F36C2C" w:rsidP="00FB4543">
      <w:pPr>
        <w:spacing w:line="480" w:lineRule="auto"/>
        <w:jc w:val="center"/>
        <w:rPr>
          <w:sz w:val="24"/>
          <w:szCs w:val="24"/>
        </w:rPr>
      </w:pPr>
    </w:p>
    <w:p w14:paraId="78499EAC" w14:textId="77777777" w:rsidR="00F36C2C" w:rsidRPr="00FB4543" w:rsidRDefault="00F36C2C" w:rsidP="00FB4543">
      <w:pPr>
        <w:spacing w:line="480" w:lineRule="auto"/>
        <w:jc w:val="center"/>
        <w:rPr>
          <w:sz w:val="24"/>
          <w:szCs w:val="24"/>
        </w:rPr>
      </w:pPr>
    </w:p>
    <w:p w14:paraId="3B592113" w14:textId="77777777" w:rsidR="00F36C2C" w:rsidRPr="00FB4543" w:rsidRDefault="00F36C2C" w:rsidP="00FB4543">
      <w:pPr>
        <w:spacing w:line="480" w:lineRule="auto"/>
        <w:jc w:val="center"/>
        <w:rPr>
          <w:sz w:val="24"/>
          <w:szCs w:val="24"/>
        </w:rPr>
      </w:pPr>
    </w:p>
    <w:p w14:paraId="6556A1A7" w14:textId="77777777" w:rsidR="00F36C2C" w:rsidRPr="00FB4543" w:rsidRDefault="00F36C2C" w:rsidP="00FB4543">
      <w:pPr>
        <w:spacing w:line="480" w:lineRule="auto"/>
        <w:jc w:val="center"/>
        <w:rPr>
          <w:sz w:val="24"/>
          <w:szCs w:val="24"/>
        </w:rPr>
      </w:pPr>
    </w:p>
    <w:p w14:paraId="6DD0E537" w14:textId="77777777" w:rsidR="00FB4543" w:rsidRPr="00FB4543" w:rsidRDefault="00FB4543" w:rsidP="00FB4543">
      <w:pPr>
        <w:spacing w:line="480" w:lineRule="auto"/>
        <w:jc w:val="center"/>
        <w:rPr>
          <w:sz w:val="24"/>
          <w:szCs w:val="24"/>
        </w:rPr>
      </w:pPr>
    </w:p>
    <w:p w14:paraId="623FFBFF" w14:textId="77777777" w:rsidR="00FB4543" w:rsidRPr="00FB4543" w:rsidRDefault="00FB4543" w:rsidP="00FB4543">
      <w:pPr>
        <w:spacing w:line="480" w:lineRule="auto"/>
        <w:jc w:val="center"/>
        <w:rPr>
          <w:sz w:val="24"/>
          <w:szCs w:val="24"/>
        </w:rPr>
      </w:pPr>
    </w:p>
    <w:p w14:paraId="367D3529" w14:textId="77777777" w:rsidR="00FB4543" w:rsidRPr="00FB4543" w:rsidRDefault="00FB4543" w:rsidP="00FB4543">
      <w:pPr>
        <w:spacing w:line="480" w:lineRule="auto"/>
        <w:jc w:val="center"/>
        <w:rPr>
          <w:sz w:val="24"/>
          <w:szCs w:val="24"/>
        </w:rPr>
      </w:pPr>
    </w:p>
    <w:p w14:paraId="47847602" w14:textId="77777777" w:rsidR="00F36C2C" w:rsidRPr="00FB4543" w:rsidRDefault="00000000" w:rsidP="00FB4543">
      <w:pPr>
        <w:spacing w:line="480" w:lineRule="auto"/>
        <w:jc w:val="center"/>
        <w:rPr>
          <w:sz w:val="24"/>
          <w:szCs w:val="24"/>
        </w:rPr>
      </w:pPr>
      <w:r w:rsidRPr="00FB4543">
        <w:rPr>
          <w:b/>
          <w:bCs/>
          <w:sz w:val="24"/>
          <w:szCs w:val="24"/>
        </w:rPr>
        <w:t>Sex-Based Differences in Endocrine and Metabolic Function:</w:t>
      </w:r>
    </w:p>
    <w:p w14:paraId="3FB00B9C" w14:textId="77777777" w:rsidR="00F36C2C" w:rsidRPr="00FB4543" w:rsidRDefault="00000000" w:rsidP="00FB4543">
      <w:pPr>
        <w:spacing w:line="480" w:lineRule="auto"/>
        <w:jc w:val="center"/>
        <w:rPr>
          <w:sz w:val="24"/>
          <w:szCs w:val="24"/>
        </w:rPr>
      </w:pPr>
      <w:r w:rsidRPr="00FB4543">
        <w:rPr>
          <w:b/>
          <w:bCs/>
          <w:sz w:val="24"/>
          <w:szCs w:val="24"/>
        </w:rPr>
        <w:t>Case Study Analysis of J.R.</w:t>
      </w:r>
    </w:p>
    <w:p w14:paraId="5FBA3430" w14:textId="77777777" w:rsidR="00F36C2C" w:rsidRPr="00FB4543" w:rsidRDefault="00F36C2C" w:rsidP="00FB4543">
      <w:pPr>
        <w:spacing w:line="480" w:lineRule="auto"/>
        <w:jc w:val="center"/>
        <w:rPr>
          <w:sz w:val="24"/>
          <w:szCs w:val="24"/>
        </w:rPr>
      </w:pPr>
    </w:p>
    <w:p w14:paraId="05711173" w14:textId="06D218CA" w:rsidR="00F36C2C" w:rsidRPr="00FB4543" w:rsidRDefault="00FB4543" w:rsidP="00FB4543">
      <w:pPr>
        <w:spacing w:line="480" w:lineRule="auto"/>
        <w:jc w:val="center"/>
        <w:rPr>
          <w:sz w:val="24"/>
          <w:szCs w:val="24"/>
        </w:rPr>
      </w:pPr>
      <w:r w:rsidRPr="00FB4543">
        <w:rPr>
          <w:sz w:val="24"/>
          <w:szCs w:val="24"/>
        </w:rPr>
        <w:t>Name</w:t>
      </w:r>
    </w:p>
    <w:p w14:paraId="5DB70D7E" w14:textId="178CACB7" w:rsidR="00F36C2C" w:rsidRPr="00FB4543" w:rsidRDefault="00000000" w:rsidP="00FB4543">
      <w:pPr>
        <w:spacing w:line="480" w:lineRule="auto"/>
        <w:jc w:val="center"/>
        <w:rPr>
          <w:sz w:val="24"/>
          <w:szCs w:val="24"/>
        </w:rPr>
      </w:pPr>
      <w:r w:rsidRPr="00FB4543">
        <w:rPr>
          <w:sz w:val="24"/>
          <w:szCs w:val="24"/>
        </w:rPr>
        <w:t xml:space="preserve">NURS 6501 </w:t>
      </w:r>
      <w:r w:rsidR="00FB4543" w:rsidRPr="00FB4543">
        <w:rPr>
          <w:sz w:val="24"/>
          <w:szCs w:val="24"/>
        </w:rPr>
        <w:t>-</w:t>
      </w:r>
      <w:r w:rsidRPr="00FB4543">
        <w:rPr>
          <w:sz w:val="24"/>
          <w:szCs w:val="24"/>
        </w:rPr>
        <w:t xml:space="preserve"> Advanced Pathophysiology</w:t>
      </w:r>
    </w:p>
    <w:p w14:paraId="54EC0F40" w14:textId="303BC15E" w:rsidR="00FB4543" w:rsidRDefault="00000000" w:rsidP="00FB4543">
      <w:pPr>
        <w:spacing w:line="480" w:lineRule="auto"/>
        <w:jc w:val="center"/>
        <w:rPr>
          <w:sz w:val="24"/>
          <w:szCs w:val="24"/>
        </w:rPr>
      </w:pPr>
      <w:r w:rsidRPr="00FB4543">
        <w:rPr>
          <w:sz w:val="24"/>
          <w:szCs w:val="24"/>
        </w:rPr>
        <w:t>Week 10 Case Study Assignment</w:t>
      </w:r>
    </w:p>
    <w:p w14:paraId="2C2C6660" w14:textId="77777777" w:rsidR="00FB4543" w:rsidRDefault="00FB4543" w:rsidP="00FB4543">
      <w:pPr>
        <w:spacing w:line="480" w:lineRule="auto"/>
        <w:jc w:val="center"/>
        <w:rPr>
          <w:sz w:val="24"/>
          <w:szCs w:val="24"/>
        </w:rPr>
      </w:pPr>
    </w:p>
    <w:p w14:paraId="0E3C0A5F" w14:textId="77777777" w:rsidR="00FB4543" w:rsidRPr="00FB4543" w:rsidRDefault="00FB4543" w:rsidP="00FB4543">
      <w:pPr>
        <w:spacing w:line="480" w:lineRule="auto"/>
        <w:jc w:val="center"/>
        <w:rPr>
          <w:sz w:val="24"/>
          <w:szCs w:val="24"/>
        </w:rPr>
      </w:pPr>
    </w:p>
    <w:p w14:paraId="04ACD8EE" w14:textId="77777777" w:rsidR="00F36C2C" w:rsidRDefault="00F36C2C" w:rsidP="00FB4543">
      <w:pPr>
        <w:spacing w:line="480" w:lineRule="auto"/>
        <w:jc w:val="center"/>
        <w:rPr>
          <w:sz w:val="24"/>
          <w:szCs w:val="24"/>
        </w:rPr>
      </w:pPr>
    </w:p>
    <w:p w14:paraId="6DDD2D68" w14:textId="77777777" w:rsidR="00FB4543" w:rsidRDefault="00FB4543" w:rsidP="00FB4543">
      <w:pPr>
        <w:spacing w:line="480" w:lineRule="auto"/>
        <w:jc w:val="center"/>
        <w:rPr>
          <w:sz w:val="24"/>
          <w:szCs w:val="24"/>
        </w:rPr>
      </w:pPr>
    </w:p>
    <w:p w14:paraId="3B731B44" w14:textId="77777777" w:rsidR="00FB4543" w:rsidRDefault="00FB4543" w:rsidP="00FB4543">
      <w:pPr>
        <w:spacing w:line="480" w:lineRule="auto"/>
        <w:jc w:val="center"/>
        <w:rPr>
          <w:sz w:val="24"/>
          <w:szCs w:val="24"/>
        </w:rPr>
      </w:pPr>
    </w:p>
    <w:p w14:paraId="28DE971B" w14:textId="77777777" w:rsidR="00FB4543" w:rsidRDefault="00FB4543" w:rsidP="00FB4543">
      <w:pPr>
        <w:spacing w:line="480" w:lineRule="auto"/>
        <w:jc w:val="center"/>
        <w:rPr>
          <w:sz w:val="24"/>
          <w:szCs w:val="24"/>
        </w:rPr>
      </w:pPr>
    </w:p>
    <w:p w14:paraId="02E06786" w14:textId="77777777" w:rsidR="00FB4543" w:rsidRDefault="00FB4543" w:rsidP="00FB4543">
      <w:pPr>
        <w:spacing w:line="480" w:lineRule="auto"/>
        <w:jc w:val="center"/>
        <w:rPr>
          <w:sz w:val="24"/>
          <w:szCs w:val="24"/>
        </w:rPr>
      </w:pPr>
    </w:p>
    <w:p w14:paraId="17CDFAE7" w14:textId="77777777" w:rsidR="00FB4543" w:rsidRDefault="00FB4543" w:rsidP="00FB4543">
      <w:pPr>
        <w:spacing w:line="480" w:lineRule="auto"/>
        <w:jc w:val="center"/>
        <w:rPr>
          <w:sz w:val="24"/>
          <w:szCs w:val="24"/>
        </w:rPr>
      </w:pPr>
    </w:p>
    <w:p w14:paraId="5DD79E70" w14:textId="77777777" w:rsidR="00FB4543" w:rsidRDefault="00FB4543" w:rsidP="00FB4543">
      <w:pPr>
        <w:spacing w:line="480" w:lineRule="auto"/>
        <w:jc w:val="center"/>
        <w:rPr>
          <w:sz w:val="24"/>
          <w:szCs w:val="24"/>
        </w:rPr>
      </w:pPr>
    </w:p>
    <w:p w14:paraId="1C4664AE" w14:textId="77777777" w:rsidR="00FB4543" w:rsidRPr="00FB4543" w:rsidRDefault="00FB4543" w:rsidP="00FB4543">
      <w:pPr>
        <w:spacing w:line="480" w:lineRule="auto"/>
        <w:jc w:val="center"/>
        <w:rPr>
          <w:sz w:val="24"/>
          <w:szCs w:val="24"/>
        </w:rPr>
      </w:pPr>
    </w:p>
    <w:p w14:paraId="760ACB12" w14:textId="77777777" w:rsidR="00F36C2C" w:rsidRPr="00FB4543" w:rsidRDefault="00000000" w:rsidP="00FB4543">
      <w:pPr>
        <w:spacing w:line="480" w:lineRule="auto"/>
        <w:jc w:val="center"/>
        <w:rPr>
          <w:sz w:val="24"/>
          <w:szCs w:val="24"/>
        </w:rPr>
      </w:pPr>
      <w:r w:rsidRPr="00FB4543">
        <w:rPr>
          <w:b/>
          <w:bCs/>
          <w:sz w:val="24"/>
          <w:szCs w:val="24"/>
        </w:rPr>
        <w:lastRenderedPageBreak/>
        <w:t>Pathophysiological Processes and Symptom Development</w:t>
      </w:r>
    </w:p>
    <w:p w14:paraId="5FB0FAE9" w14:textId="0DCCC000" w:rsidR="00FB4543" w:rsidRPr="00FB4543" w:rsidRDefault="00FB4543" w:rsidP="00FB4543">
      <w:pPr>
        <w:spacing w:line="480" w:lineRule="auto"/>
        <w:ind w:firstLine="720"/>
        <w:jc w:val="both"/>
        <w:rPr>
          <w:sz w:val="24"/>
          <w:szCs w:val="24"/>
        </w:rPr>
      </w:pPr>
      <w:r w:rsidRPr="00FB4543">
        <w:rPr>
          <w:sz w:val="24"/>
          <w:szCs w:val="24"/>
        </w:rPr>
        <w:t xml:space="preserve">The clinical picture of patient J.R., who is 52 years old, presents progressive fatigue, central weight gain, decreased energy, and cognitive slowing, consistent with a diagnosis of hypothyroidism and metabolic syndrome co-existent, but not representative of normal aging. The decrease in the synthesis of thyroid hormones (T3/T4) directly lowers the production of ATP in mitochondria, which in turn directly causes fatigue and a decrease in endurance (Chaker et al., 2022). The thyroid deficiency also decreases the basal metabolic rate, which aids central adiposity. At the same time, the fat located in the belly secretes pro-inflammatory cytokines (TNF-alpha, IL-6) that impair the insulin receptor signaling, which </w:t>
      </w:r>
      <w:r>
        <w:rPr>
          <w:sz w:val="24"/>
          <w:szCs w:val="24"/>
        </w:rPr>
        <w:t>promotes</w:t>
      </w:r>
      <w:r w:rsidRPr="00FB4543">
        <w:rPr>
          <w:sz w:val="24"/>
          <w:szCs w:val="24"/>
        </w:rPr>
        <w:t xml:space="preserve"> insulin resistance and shift energy metabolism to </w:t>
      </w:r>
      <w:r>
        <w:rPr>
          <w:sz w:val="24"/>
          <w:szCs w:val="24"/>
        </w:rPr>
        <w:t xml:space="preserve">the </w:t>
      </w:r>
      <w:r w:rsidRPr="00FB4543">
        <w:rPr>
          <w:sz w:val="24"/>
          <w:szCs w:val="24"/>
        </w:rPr>
        <w:t xml:space="preserve">anaerobic pathway- further depleting energy. Reduced dopaminergic and serotonergic signaling is cognitive slowing </w:t>
      </w:r>
      <w:proofErr w:type="gramStart"/>
      <w:r w:rsidRPr="00FB4543">
        <w:rPr>
          <w:sz w:val="24"/>
          <w:szCs w:val="24"/>
        </w:rPr>
        <w:t>as a result of</w:t>
      </w:r>
      <w:proofErr w:type="gramEnd"/>
      <w:r w:rsidRPr="00FB4543">
        <w:rPr>
          <w:sz w:val="24"/>
          <w:szCs w:val="24"/>
        </w:rPr>
        <w:t xml:space="preserve"> insulin resistance-mediated sympathetic activation, but borderline hypertension (138/86 mmHg) represents insulin resistance-mediated sympathetic activation.</w:t>
      </w:r>
    </w:p>
    <w:p w14:paraId="66DAD964" w14:textId="77777777" w:rsidR="00FB4543" w:rsidRPr="00FB4543" w:rsidRDefault="00FB4543" w:rsidP="00FB4543">
      <w:pPr>
        <w:spacing w:line="480" w:lineRule="auto"/>
        <w:jc w:val="center"/>
        <w:rPr>
          <w:b/>
          <w:bCs/>
          <w:sz w:val="24"/>
          <w:szCs w:val="24"/>
        </w:rPr>
      </w:pPr>
      <w:r w:rsidRPr="00FB4543">
        <w:rPr>
          <w:b/>
          <w:bCs/>
          <w:sz w:val="24"/>
          <w:szCs w:val="24"/>
        </w:rPr>
        <w:t>Hereditary, Risk Factors, and Disease Susceptibility.</w:t>
      </w:r>
    </w:p>
    <w:p w14:paraId="74D2D19A" w14:textId="6D569152" w:rsidR="00FB4543" w:rsidRPr="00FB4543" w:rsidRDefault="00FB4543" w:rsidP="00FB4543">
      <w:pPr>
        <w:spacing w:line="480" w:lineRule="auto"/>
        <w:ind w:firstLine="720"/>
        <w:jc w:val="both"/>
        <w:rPr>
          <w:sz w:val="24"/>
          <w:szCs w:val="24"/>
        </w:rPr>
      </w:pPr>
      <w:r w:rsidRPr="00FB4543">
        <w:rPr>
          <w:sz w:val="24"/>
          <w:szCs w:val="24"/>
        </w:rPr>
        <w:t xml:space="preserve">Autoimmune hypothyroidism is associated with 7080% </w:t>
      </w:r>
      <w:proofErr w:type="gramStart"/>
      <w:r w:rsidRPr="00FB4543">
        <w:rPr>
          <w:sz w:val="24"/>
          <w:szCs w:val="24"/>
        </w:rPr>
        <w:t>heritability, and</w:t>
      </w:r>
      <w:proofErr w:type="gramEnd"/>
      <w:r w:rsidRPr="00FB4543">
        <w:rPr>
          <w:sz w:val="24"/>
          <w:szCs w:val="24"/>
        </w:rPr>
        <w:t xml:space="preserve"> is linked to the polymorphisms of HLA-DR, CTLA-4</w:t>
      </w:r>
      <w:r>
        <w:rPr>
          <w:sz w:val="24"/>
          <w:szCs w:val="24"/>
        </w:rPr>
        <w:t>,</w:t>
      </w:r>
      <w:r w:rsidRPr="00FB4543">
        <w:rPr>
          <w:sz w:val="24"/>
          <w:szCs w:val="24"/>
        </w:rPr>
        <w:t xml:space="preserve"> and PTPN22. IRS-1 variants, ADIPOQ variants, and PPARG variants are </w:t>
      </w:r>
      <w:r>
        <w:rPr>
          <w:sz w:val="24"/>
          <w:szCs w:val="24"/>
        </w:rPr>
        <w:t>heritability</w:t>
      </w:r>
      <w:r w:rsidRPr="00FB4543">
        <w:rPr>
          <w:sz w:val="24"/>
          <w:szCs w:val="24"/>
        </w:rPr>
        <w:t xml:space="preserve"> factors of metabolic syndrome (Chaker et al., 2022). The lifestyle of J.R. contributes to this genetic risk: physical inactivity decreases the translocation of GLUT-4 and the sensitivity of the insulin; a processed-food diet induces hyperglycemia and extrapyramidal fat deposition; and poor sleep increases cortisol and suppresses growth hormone, accelerating visceral adiposity (</w:t>
      </w:r>
      <w:proofErr w:type="spellStart"/>
      <w:r w:rsidRPr="00FB4543">
        <w:rPr>
          <w:sz w:val="24"/>
          <w:szCs w:val="24"/>
        </w:rPr>
        <w:t>Yaribeygi</w:t>
      </w:r>
      <w:proofErr w:type="spellEnd"/>
      <w:r w:rsidRPr="00FB4543">
        <w:rPr>
          <w:sz w:val="24"/>
          <w:szCs w:val="24"/>
        </w:rPr>
        <w:t xml:space="preserve"> et al., 2022). The factors </w:t>
      </w:r>
      <w:proofErr w:type="gramStart"/>
      <w:r w:rsidRPr="00FB4543">
        <w:rPr>
          <w:sz w:val="24"/>
          <w:szCs w:val="24"/>
        </w:rPr>
        <w:t>feed off</w:t>
      </w:r>
      <w:proofErr w:type="gramEnd"/>
      <w:r w:rsidRPr="00FB4543">
        <w:rPr>
          <w:sz w:val="24"/>
          <w:szCs w:val="24"/>
        </w:rPr>
        <w:t xml:space="preserve"> each other in a self-fertilizing loop.</w:t>
      </w:r>
    </w:p>
    <w:p w14:paraId="1ECAE29F" w14:textId="38038B66" w:rsidR="00FB4543" w:rsidRPr="00FB4543" w:rsidRDefault="00FB4543" w:rsidP="00FB4543">
      <w:pPr>
        <w:spacing w:line="480" w:lineRule="auto"/>
        <w:jc w:val="center"/>
        <w:rPr>
          <w:b/>
          <w:bCs/>
          <w:sz w:val="24"/>
          <w:szCs w:val="24"/>
        </w:rPr>
      </w:pPr>
      <w:r w:rsidRPr="00FB4543">
        <w:rPr>
          <w:b/>
          <w:bCs/>
          <w:sz w:val="24"/>
          <w:szCs w:val="24"/>
        </w:rPr>
        <w:t>History, Lifestyle and Clinical Interpretation</w:t>
      </w:r>
    </w:p>
    <w:p w14:paraId="216DC3C0" w14:textId="56620099" w:rsidR="00F36C2C" w:rsidRPr="00FB4543" w:rsidRDefault="00FB4543" w:rsidP="00FB4543">
      <w:pPr>
        <w:spacing w:line="480" w:lineRule="auto"/>
        <w:ind w:firstLine="720"/>
        <w:jc w:val="both"/>
        <w:rPr>
          <w:sz w:val="24"/>
          <w:szCs w:val="24"/>
        </w:rPr>
      </w:pPr>
      <w:r w:rsidRPr="00FB4543">
        <w:rPr>
          <w:sz w:val="24"/>
          <w:szCs w:val="24"/>
        </w:rPr>
        <w:t>Chronic sleep deprivation increases levels of ghrelin and decreases the level of leptin, maintaining the state of appetite dysregulation and caloric surplus (Baranowski et al., 2021). Age 52</w:t>
      </w:r>
      <w:r>
        <w:rPr>
          <w:sz w:val="24"/>
          <w:szCs w:val="24"/>
        </w:rPr>
        <w:t>, b</w:t>
      </w:r>
      <w:r w:rsidRPr="00FB4543">
        <w:rPr>
          <w:sz w:val="24"/>
          <w:szCs w:val="24"/>
        </w:rPr>
        <w:t xml:space="preserve">ecause of the declining sex hormones, fat is centrally distributed irrespective of sex. Metabolic thresholds </w:t>
      </w:r>
      <w:r>
        <w:rPr>
          <w:sz w:val="24"/>
          <w:szCs w:val="24"/>
        </w:rPr>
        <w:t>are also</w:t>
      </w:r>
      <w:r w:rsidRPr="00FB4543">
        <w:rPr>
          <w:sz w:val="24"/>
          <w:szCs w:val="24"/>
        </w:rPr>
        <w:t xml:space="preserve"> altered by racial and ethnic background. This presentation is progressive, multisystemic, and functionally impairing and cannot be ascribed to normal aging and needs the assessment of endocrine-metabolic impairment to prevent cardiovascular disease, type 2 diabetes, and cognitive decline.</w:t>
      </w:r>
    </w:p>
    <w:p w14:paraId="148A6306" w14:textId="77777777" w:rsidR="00FB4543" w:rsidRPr="00FB4543" w:rsidRDefault="00FB4543" w:rsidP="00FB4543">
      <w:pPr>
        <w:spacing w:line="480" w:lineRule="auto"/>
        <w:ind w:firstLine="720"/>
        <w:jc w:val="both"/>
        <w:rPr>
          <w:sz w:val="24"/>
          <w:szCs w:val="24"/>
        </w:rPr>
      </w:pPr>
    </w:p>
    <w:p w14:paraId="1D5A4565" w14:textId="77777777" w:rsidR="00FB4543" w:rsidRPr="00FB4543" w:rsidRDefault="00FB4543" w:rsidP="00FB4543">
      <w:pPr>
        <w:spacing w:line="480" w:lineRule="auto"/>
        <w:ind w:firstLine="720"/>
        <w:jc w:val="both"/>
        <w:rPr>
          <w:sz w:val="24"/>
          <w:szCs w:val="24"/>
        </w:rPr>
      </w:pPr>
    </w:p>
    <w:p w14:paraId="433ADD7B" w14:textId="77777777" w:rsidR="00FB4543" w:rsidRPr="00FB4543" w:rsidRDefault="00FB4543" w:rsidP="00FB4543">
      <w:pPr>
        <w:spacing w:line="480" w:lineRule="auto"/>
        <w:ind w:firstLine="720"/>
        <w:jc w:val="both"/>
        <w:rPr>
          <w:sz w:val="24"/>
          <w:szCs w:val="24"/>
        </w:rPr>
      </w:pPr>
    </w:p>
    <w:p w14:paraId="3BB111CD" w14:textId="77777777" w:rsidR="00FB4543" w:rsidRPr="00FB4543" w:rsidRDefault="00FB4543" w:rsidP="00FB4543">
      <w:pPr>
        <w:spacing w:line="480" w:lineRule="auto"/>
        <w:ind w:firstLine="720"/>
        <w:jc w:val="both"/>
        <w:rPr>
          <w:sz w:val="24"/>
          <w:szCs w:val="24"/>
        </w:rPr>
      </w:pPr>
    </w:p>
    <w:p w14:paraId="367185A7" w14:textId="77777777" w:rsidR="00FB4543" w:rsidRPr="00FB4543" w:rsidRDefault="00FB4543" w:rsidP="00FB4543">
      <w:pPr>
        <w:spacing w:line="480" w:lineRule="auto"/>
        <w:ind w:firstLine="720"/>
        <w:jc w:val="both"/>
        <w:rPr>
          <w:sz w:val="24"/>
          <w:szCs w:val="24"/>
        </w:rPr>
      </w:pPr>
    </w:p>
    <w:p w14:paraId="5DC338EF" w14:textId="77777777" w:rsidR="00FB4543" w:rsidRPr="00FB4543" w:rsidRDefault="00FB4543" w:rsidP="00FB4543">
      <w:pPr>
        <w:spacing w:line="480" w:lineRule="auto"/>
        <w:ind w:firstLine="720"/>
        <w:jc w:val="both"/>
        <w:rPr>
          <w:sz w:val="24"/>
          <w:szCs w:val="24"/>
        </w:rPr>
      </w:pPr>
    </w:p>
    <w:p w14:paraId="401B927A" w14:textId="77777777" w:rsidR="00FB4543" w:rsidRPr="00FB4543" w:rsidRDefault="00FB4543" w:rsidP="00FB4543">
      <w:pPr>
        <w:spacing w:line="480" w:lineRule="auto"/>
        <w:ind w:firstLine="720"/>
        <w:jc w:val="both"/>
        <w:rPr>
          <w:sz w:val="24"/>
          <w:szCs w:val="24"/>
        </w:rPr>
      </w:pPr>
    </w:p>
    <w:p w14:paraId="30EF88D0" w14:textId="77777777" w:rsidR="00FB4543" w:rsidRPr="00FB4543" w:rsidRDefault="00FB4543" w:rsidP="00FB4543">
      <w:pPr>
        <w:spacing w:line="480" w:lineRule="auto"/>
        <w:ind w:firstLine="720"/>
        <w:jc w:val="both"/>
        <w:rPr>
          <w:sz w:val="24"/>
          <w:szCs w:val="24"/>
        </w:rPr>
      </w:pPr>
    </w:p>
    <w:p w14:paraId="3B43FD44" w14:textId="77777777" w:rsidR="00FB4543" w:rsidRPr="00FB4543" w:rsidRDefault="00FB4543" w:rsidP="00FB4543">
      <w:pPr>
        <w:spacing w:line="480" w:lineRule="auto"/>
        <w:ind w:firstLine="720"/>
        <w:jc w:val="both"/>
        <w:rPr>
          <w:sz w:val="24"/>
          <w:szCs w:val="24"/>
        </w:rPr>
      </w:pPr>
    </w:p>
    <w:p w14:paraId="5C5D5F33" w14:textId="77777777" w:rsidR="00FB4543" w:rsidRPr="00FB4543" w:rsidRDefault="00FB4543" w:rsidP="00FB4543">
      <w:pPr>
        <w:spacing w:line="480" w:lineRule="auto"/>
        <w:ind w:firstLine="720"/>
        <w:jc w:val="both"/>
        <w:rPr>
          <w:sz w:val="24"/>
          <w:szCs w:val="24"/>
        </w:rPr>
      </w:pPr>
    </w:p>
    <w:p w14:paraId="53EC6B36" w14:textId="77777777" w:rsidR="00FB4543" w:rsidRPr="00FB4543" w:rsidRDefault="00FB4543" w:rsidP="00FB4543">
      <w:pPr>
        <w:spacing w:line="480" w:lineRule="auto"/>
        <w:ind w:firstLine="720"/>
        <w:jc w:val="both"/>
        <w:rPr>
          <w:sz w:val="24"/>
          <w:szCs w:val="24"/>
        </w:rPr>
      </w:pPr>
    </w:p>
    <w:p w14:paraId="5640BA95" w14:textId="77777777" w:rsidR="00FB4543" w:rsidRPr="00FB4543" w:rsidRDefault="00FB4543" w:rsidP="00FB4543">
      <w:pPr>
        <w:spacing w:line="480" w:lineRule="auto"/>
        <w:ind w:firstLine="720"/>
        <w:jc w:val="both"/>
        <w:rPr>
          <w:sz w:val="24"/>
          <w:szCs w:val="24"/>
        </w:rPr>
      </w:pPr>
    </w:p>
    <w:p w14:paraId="7A6C0080" w14:textId="77777777" w:rsidR="00FB4543" w:rsidRPr="00FB4543" w:rsidRDefault="00FB4543" w:rsidP="00FB4543">
      <w:pPr>
        <w:spacing w:line="480" w:lineRule="auto"/>
        <w:ind w:firstLine="720"/>
        <w:jc w:val="both"/>
        <w:rPr>
          <w:sz w:val="24"/>
          <w:szCs w:val="24"/>
        </w:rPr>
      </w:pPr>
    </w:p>
    <w:p w14:paraId="169E0AF8" w14:textId="77777777" w:rsidR="00FB4543" w:rsidRPr="00FB4543" w:rsidRDefault="00FB4543" w:rsidP="00FB4543">
      <w:pPr>
        <w:spacing w:line="480" w:lineRule="auto"/>
        <w:ind w:firstLine="720"/>
        <w:jc w:val="both"/>
        <w:rPr>
          <w:sz w:val="24"/>
          <w:szCs w:val="24"/>
        </w:rPr>
      </w:pPr>
    </w:p>
    <w:p w14:paraId="4A715F99" w14:textId="77777777" w:rsidR="00FB4543" w:rsidRPr="00FB4543" w:rsidRDefault="00FB4543" w:rsidP="00FB4543">
      <w:pPr>
        <w:spacing w:line="480" w:lineRule="auto"/>
        <w:ind w:firstLine="720"/>
        <w:jc w:val="both"/>
        <w:rPr>
          <w:sz w:val="24"/>
          <w:szCs w:val="24"/>
        </w:rPr>
      </w:pPr>
    </w:p>
    <w:p w14:paraId="6F2E8ADA" w14:textId="77777777" w:rsidR="00FB4543" w:rsidRDefault="00FB4543" w:rsidP="00FB4543">
      <w:pPr>
        <w:spacing w:line="480" w:lineRule="auto"/>
        <w:jc w:val="center"/>
        <w:rPr>
          <w:b/>
          <w:bCs/>
          <w:sz w:val="24"/>
          <w:szCs w:val="24"/>
        </w:rPr>
      </w:pPr>
    </w:p>
    <w:p w14:paraId="0AFB7026" w14:textId="0B62FA71" w:rsidR="00F36C2C" w:rsidRPr="00FB4543" w:rsidRDefault="00000000" w:rsidP="00FB4543">
      <w:pPr>
        <w:spacing w:line="480" w:lineRule="auto"/>
        <w:jc w:val="center"/>
        <w:rPr>
          <w:sz w:val="24"/>
          <w:szCs w:val="24"/>
        </w:rPr>
      </w:pPr>
      <w:r w:rsidRPr="00FB4543">
        <w:rPr>
          <w:b/>
          <w:bCs/>
          <w:sz w:val="24"/>
          <w:szCs w:val="24"/>
        </w:rPr>
        <w:t>References</w:t>
      </w:r>
    </w:p>
    <w:p w14:paraId="6B0A1BA6" w14:textId="77777777" w:rsidR="00F36C2C" w:rsidRPr="00FB4543" w:rsidRDefault="00000000" w:rsidP="00FB4543">
      <w:pPr>
        <w:spacing w:line="480" w:lineRule="auto"/>
        <w:ind w:left="720" w:hanging="720"/>
        <w:rPr>
          <w:sz w:val="24"/>
          <w:szCs w:val="24"/>
        </w:rPr>
      </w:pPr>
      <w:r w:rsidRPr="00FB4543">
        <w:rPr>
          <w:sz w:val="24"/>
          <w:szCs w:val="24"/>
        </w:rPr>
        <w:t xml:space="preserve">Baranowski, M., </w:t>
      </w:r>
      <w:proofErr w:type="spellStart"/>
      <w:r w:rsidRPr="00FB4543">
        <w:rPr>
          <w:sz w:val="24"/>
          <w:szCs w:val="24"/>
        </w:rPr>
        <w:t>Górnicka</w:t>
      </w:r>
      <w:proofErr w:type="spellEnd"/>
      <w:r w:rsidRPr="00FB4543">
        <w:rPr>
          <w:sz w:val="24"/>
          <w:szCs w:val="24"/>
        </w:rPr>
        <w:t>, M., &amp; Zielinski, J. (2021). Sleep deprivation and metabolic dysfunction: The role of ghrelin, leptin, and cortisol in appetite regulation. Nutrients, 13(11), 4094. https://doi.org/10.3390/nu13114094</w:t>
      </w:r>
    </w:p>
    <w:p w14:paraId="7DD391D5" w14:textId="77777777" w:rsidR="00F36C2C" w:rsidRPr="00FB4543" w:rsidRDefault="00000000" w:rsidP="00FB4543">
      <w:pPr>
        <w:spacing w:line="480" w:lineRule="auto"/>
        <w:ind w:left="720" w:hanging="720"/>
        <w:rPr>
          <w:sz w:val="24"/>
          <w:szCs w:val="24"/>
        </w:rPr>
      </w:pPr>
      <w:r w:rsidRPr="00FB4543">
        <w:rPr>
          <w:sz w:val="24"/>
          <w:szCs w:val="24"/>
        </w:rPr>
        <w:t>Chaker, L., Bianco, A. C., Jonklaas, J., &amp; Peeters, R. P. (2022). Hypothyroidism: Pathogenesis, diagnosis, and treatment. The Lancet, 398(10315), 1995–2010. https://doi.org/10.1016/S0140-6736(21)01628-9</w:t>
      </w:r>
    </w:p>
    <w:p w14:paraId="388E9330" w14:textId="77777777" w:rsidR="00F36C2C" w:rsidRPr="00FB4543" w:rsidRDefault="00000000" w:rsidP="00FB4543">
      <w:pPr>
        <w:spacing w:line="480" w:lineRule="auto"/>
        <w:ind w:left="720" w:hanging="720"/>
        <w:rPr>
          <w:sz w:val="24"/>
          <w:szCs w:val="24"/>
        </w:rPr>
      </w:pPr>
      <w:proofErr w:type="spellStart"/>
      <w:r w:rsidRPr="00FB4543">
        <w:rPr>
          <w:sz w:val="24"/>
          <w:szCs w:val="24"/>
        </w:rPr>
        <w:t>Yaribeygi</w:t>
      </w:r>
      <w:proofErr w:type="spellEnd"/>
      <w:r w:rsidRPr="00FB4543">
        <w:rPr>
          <w:sz w:val="24"/>
          <w:szCs w:val="24"/>
        </w:rPr>
        <w:t xml:space="preserve">, H., Farrokhi, F. R., Butler, A. E., &amp; </w:t>
      </w:r>
      <w:proofErr w:type="spellStart"/>
      <w:r w:rsidRPr="00FB4543">
        <w:rPr>
          <w:sz w:val="24"/>
          <w:szCs w:val="24"/>
        </w:rPr>
        <w:t>Sahebkar</w:t>
      </w:r>
      <w:proofErr w:type="spellEnd"/>
      <w:r w:rsidRPr="00FB4543">
        <w:rPr>
          <w:sz w:val="24"/>
          <w:szCs w:val="24"/>
        </w:rPr>
        <w:t>, A. (2022). Insulin resistance: Review of the underlying molecular mechanisms. Journal of Cellular Physiology, 234(6), 8152–8161. https://doi.org/10.1002/jcp.27603</w:t>
      </w:r>
    </w:p>
    <w:sectPr w:rsidR="00F36C2C" w:rsidRPr="00FB454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D0B86"/>
    <w:multiLevelType w:val="hybridMultilevel"/>
    <w:tmpl w:val="AF8888B0"/>
    <w:lvl w:ilvl="0" w:tplc="30EE9AEE">
      <w:start w:val="1"/>
      <w:numFmt w:val="bullet"/>
      <w:lvlText w:val="●"/>
      <w:lvlJc w:val="left"/>
      <w:pPr>
        <w:ind w:left="720" w:hanging="360"/>
      </w:pPr>
    </w:lvl>
    <w:lvl w:ilvl="1" w:tplc="36C80510">
      <w:start w:val="1"/>
      <w:numFmt w:val="bullet"/>
      <w:lvlText w:val="○"/>
      <w:lvlJc w:val="left"/>
      <w:pPr>
        <w:ind w:left="1440" w:hanging="360"/>
      </w:pPr>
    </w:lvl>
    <w:lvl w:ilvl="2" w:tplc="957085AA">
      <w:start w:val="1"/>
      <w:numFmt w:val="bullet"/>
      <w:lvlText w:val="■"/>
      <w:lvlJc w:val="left"/>
      <w:pPr>
        <w:ind w:left="2160" w:hanging="360"/>
      </w:pPr>
    </w:lvl>
    <w:lvl w:ilvl="3" w:tplc="2D9E56BA">
      <w:start w:val="1"/>
      <w:numFmt w:val="bullet"/>
      <w:lvlText w:val="●"/>
      <w:lvlJc w:val="left"/>
      <w:pPr>
        <w:ind w:left="2880" w:hanging="360"/>
      </w:pPr>
    </w:lvl>
    <w:lvl w:ilvl="4" w:tplc="AD7A9E7C">
      <w:start w:val="1"/>
      <w:numFmt w:val="bullet"/>
      <w:lvlText w:val="○"/>
      <w:lvlJc w:val="left"/>
      <w:pPr>
        <w:ind w:left="3600" w:hanging="360"/>
      </w:pPr>
    </w:lvl>
    <w:lvl w:ilvl="5" w:tplc="704A3984">
      <w:start w:val="1"/>
      <w:numFmt w:val="bullet"/>
      <w:lvlText w:val="■"/>
      <w:lvlJc w:val="left"/>
      <w:pPr>
        <w:ind w:left="4320" w:hanging="360"/>
      </w:pPr>
    </w:lvl>
    <w:lvl w:ilvl="6" w:tplc="E3888264">
      <w:start w:val="1"/>
      <w:numFmt w:val="bullet"/>
      <w:lvlText w:val="●"/>
      <w:lvlJc w:val="left"/>
      <w:pPr>
        <w:ind w:left="5040" w:hanging="360"/>
      </w:pPr>
    </w:lvl>
    <w:lvl w:ilvl="7" w:tplc="AC1AF6D6">
      <w:start w:val="1"/>
      <w:numFmt w:val="bullet"/>
      <w:lvlText w:val="●"/>
      <w:lvlJc w:val="left"/>
      <w:pPr>
        <w:ind w:left="5760" w:hanging="360"/>
      </w:pPr>
    </w:lvl>
    <w:lvl w:ilvl="8" w:tplc="345615B4">
      <w:start w:val="1"/>
      <w:numFmt w:val="bullet"/>
      <w:lvlText w:val="●"/>
      <w:lvlJc w:val="left"/>
      <w:pPr>
        <w:ind w:left="6480" w:hanging="360"/>
      </w:pPr>
    </w:lvl>
  </w:abstractNum>
  <w:num w:numId="1" w16cid:durableId="20230431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2C"/>
    <w:rsid w:val="0060591C"/>
    <w:rsid w:val="00F36C2C"/>
    <w:rsid w:val="00FB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90FB"/>
  <w15:docId w15:val="{EBE53254-548B-419C-8F30-F14F987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2026-05-03T10:26:00Z</dcterms:created>
  <dcterms:modified xsi:type="dcterms:W3CDTF">2026-05-03T10:42:00Z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e8a68fe8-4af8-4a5e-973d-70cf17d3a47c</vt:lpwstr>
  </property>
</Properties>
</file>