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68519" w14:textId="77777777" w:rsidR="004B4442" w:rsidRPr="009A4EE3" w:rsidRDefault="004B4442" w:rsidP="009A4EE3">
      <w:pPr>
        <w:spacing w:after="0" w:line="480" w:lineRule="auto"/>
        <w:jc w:val="center"/>
        <w:rPr>
          <w:rFonts w:cs="Times New Roman"/>
          <w:b/>
          <w:szCs w:val="24"/>
        </w:rPr>
      </w:pPr>
    </w:p>
    <w:p w14:paraId="18ECED12" w14:textId="77777777" w:rsidR="004B4442" w:rsidRPr="009A4EE3" w:rsidRDefault="004B4442" w:rsidP="009A4EE3">
      <w:pPr>
        <w:spacing w:after="0" w:line="480" w:lineRule="auto"/>
        <w:jc w:val="center"/>
        <w:rPr>
          <w:rFonts w:cs="Times New Roman"/>
          <w:b/>
          <w:szCs w:val="24"/>
        </w:rPr>
      </w:pPr>
    </w:p>
    <w:p w14:paraId="544F8EF9" w14:textId="77777777" w:rsidR="004B4442" w:rsidRPr="009A4EE3" w:rsidRDefault="004B4442" w:rsidP="009A4EE3">
      <w:pPr>
        <w:spacing w:after="0" w:line="480" w:lineRule="auto"/>
        <w:jc w:val="center"/>
        <w:rPr>
          <w:rFonts w:cs="Times New Roman"/>
          <w:b/>
          <w:szCs w:val="24"/>
        </w:rPr>
      </w:pPr>
    </w:p>
    <w:p w14:paraId="0B2CD295" w14:textId="77777777" w:rsidR="004B4442" w:rsidRPr="009A4EE3" w:rsidRDefault="004B4442" w:rsidP="009A4EE3">
      <w:pPr>
        <w:spacing w:after="0" w:line="480" w:lineRule="auto"/>
        <w:jc w:val="center"/>
        <w:rPr>
          <w:rFonts w:cs="Times New Roman"/>
          <w:b/>
          <w:szCs w:val="24"/>
        </w:rPr>
      </w:pPr>
    </w:p>
    <w:p w14:paraId="519755BA" w14:textId="77777777" w:rsidR="004B4442" w:rsidRPr="009A4EE3" w:rsidRDefault="004B4442" w:rsidP="009A4EE3">
      <w:pPr>
        <w:spacing w:after="0" w:line="480" w:lineRule="auto"/>
        <w:jc w:val="center"/>
        <w:rPr>
          <w:rFonts w:cs="Times New Roman"/>
          <w:b/>
          <w:szCs w:val="24"/>
        </w:rPr>
      </w:pPr>
      <w:r w:rsidRPr="009A4EE3">
        <w:rPr>
          <w:rFonts w:cs="Times New Roman"/>
          <w:b/>
          <w:szCs w:val="24"/>
        </w:rPr>
        <w:t>Developing Best Practices for First-Year Seminars: An Interpretive Qualitative Study of Faculty and Student Perspectives</w:t>
      </w:r>
    </w:p>
    <w:p w14:paraId="35C091DE" w14:textId="77777777" w:rsidR="004B4442" w:rsidRPr="009A4EE3" w:rsidRDefault="004B4442" w:rsidP="009A4EE3">
      <w:pPr>
        <w:spacing w:after="0" w:line="480" w:lineRule="auto"/>
        <w:jc w:val="center"/>
        <w:rPr>
          <w:rFonts w:eastAsia="Times New Roman" w:cs="Times New Roman"/>
          <w:b/>
          <w:szCs w:val="24"/>
        </w:rPr>
      </w:pPr>
    </w:p>
    <w:p w14:paraId="37A8CE8F" w14:textId="77777777" w:rsidR="004B4442" w:rsidRPr="009A4EE3" w:rsidRDefault="004B4442" w:rsidP="009A4EE3">
      <w:pPr>
        <w:spacing w:after="0" w:line="480" w:lineRule="auto"/>
        <w:jc w:val="center"/>
        <w:rPr>
          <w:rFonts w:cs="Times New Roman"/>
          <w:b/>
          <w:bCs/>
          <w:szCs w:val="24"/>
        </w:rPr>
      </w:pPr>
      <w:r w:rsidRPr="009A4EE3">
        <w:rPr>
          <w:rFonts w:cs="Times New Roman"/>
          <w:color w:val="000000"/>
          <w:szCs w:val="24"/>
        </w:rPr>
        <w:t>Author Name</w:t>
      </w:r>
    </w:p>
    <w:p w14:paraId="620926C7" w14:textId="77777777" w:rsidR="004B4442" w:rsidRPr="009A4EE3" w:rsidRDefault="004B4442" w:rsidP="009A4EE3">
      <w:pPr>
        <w:spacing w:after="0" w:line="480" w:lineRule="auto"/>
        <w:contextualSpacing/>
        <w:jc w:val="center"/>
        <w:rPr>
          <w:rFonts w:cs="Times New Roman"/>
          <w:color w:val="000000"/>
          <w:szCs w:val="24"/>
        </w:rPr>
      </w:pPr>
      <w:r w:rsidRPr="009A4EE3">
        <w:rPr>
          <w:rFonts w:cs="Times New Roman"/>
          <w:color w:val="000000"/>
          <w:szCs w:val="24"/>
        </w:rPr>
        <w:t>Institution Name</w:t>
      </w:r>
    </w:p>
    <w:p w14:paraId="1421908A" w14:textId="77777777" w:rsidR="004B4442" w:rsidRPr="009A4EE3" w:rsidRDefault="004B4442" w:rsidP="009A4EE3">
      <w:pPr>
        <w:spacing w:after="0" w:line="480" w:lineRule="auto"/>
        <w:contextualSpacing/>
        <w:jc w:val="center"/>
        <w:rPr>
          <w:rFonts w:cs="Times New Roman"/>
          <w:szCs w:val="24"/>
        </w:rPr>
      </w:pPr>
      <w:r w:rsidRPr="009A4EE3">
        <w:rPr>
          <w:rFonts w:cs="Times New Roman"/>
          <w:szCs w:val="24"/>
        </w:rPr>
        <w:t>Course Name</w:t>
      </w:r>
    </w:p>
    <w:p w14:paraId="66B2B55A" w14:textId="77777777" w:rsidR="004B4442" w:rsidRPr="009A4EE3" w:rsidRDefault="004B4442" w:rsidP="009A4EE3">
      <w:pPr>
        <w:spacing w:after="0" w:line="480" w:lineRule="auto"/>
        <w:contextualSpacing/>
        <w:jc w:val="center"/>
        <w:rPr>
          <w:rFonts w:cs="Times New Roman"/>
          <w:szCs w:val="24"/>
        </w:rPr>
      </w:pPr>
      <w:r w:rsidRPr="009A4EE3">
        <w:rPr>
          <w:rFonts w:cs="Times New Roman"/>
          <w:szCs w:val="24"/>
        </w:rPr>
        <w:t>Instructor Name</w:t>
      </w:r>
    </w:p>
    <w:p w14:paraId="70E438E0" w14:textId="77777777" w:rsidR="004B4442" w:rsidRPr="009A4EE3" w:rsidRDefault="004B4442" w:rsidP="009A4EE3">
      <w:pPr>
        <w:pStyle w:val="NormalWeb"/>
        <w:spacing w:before="0" w:beforeAutospacing="0" w:after="0" w:afterAutospacing="0" w:line="480" w:lineRule="auto"/>
        <w:jc w:val="center"/>
      </w:pPr>
      <w:r w:rsidRPr="009A4EE3">
        <w:t>Date</w:t>
      </w:r>
    </w:p>
    <w:p w14:paraId="7E66DAE3" w14:textId="77777777" w:rsidR="004B4442" w:rsidRPr="009A4EE3" w:rsidRDefault="004B4442" w:rsidP="009A4EE3">
      <w:pPr>
        <w:spacing w:after="0" w:line="480" w:lineRule="auto"/>
        <w:rPr>
          <w:rFonts w:eastAsia="Times New Roman" w:cs="Times New Roman"/>
          <w:szCs w:val="24"/>
        </w:rPr>
      </w:pPr>
      <w:r w:rsidRPr="009A4EE3">
        <w:rPr>
          <w:rFonts w:cs="Times New Roman"/>
          <w:szCs w:val="24"/>
        </w:rPr>
        <w:br w:type="page"/>
      </w:r>
    </w:p>
    <w:p w14:paraId="4AE83DDC" w14:textId="77777777" w:rsidR="00CD1F1B" w:rsidRPr="009A4EE3" w:rsidRDefault="00CD1F1B" w:rsidP="009A4EE3">
      <w:pPr>
        <w:spacing w:after="0" w:line="480" w:lineRule="auto"/>
        <w:jc w:val="center"/>
        <w:rPr>
          <w:rFonts w:cs="Times New Roman"/>
          <w:b/>
          <w:szCs w:val="24"/>
        </w:rPr>
      </w:pPr>
      <w:r w:rsidRPr="009A4EE3">
        <w:rPr>
          <w:rFonts w:cs="Times New Roman"/>
          <w:b/>
          <w:szCs w:val="24"/>
        </w:rPr>
        <w:lastRenderedPageBreak/>
        <w:t>Developing Best Practices for First-Year Seminars: An Interpretive Qualitative Study of Faculty and Student Perspectives</w:t>
      </w:r>
    </w:p>
    <w:p w14:paraId="4A9A0374" w14:textId="77777777" w:rsidR="00000928" w:rsidRPr="00B66607" w:rsidRDefault="00000928" w:rsidP="009A4EE3">
      <w:pPr>
        <w:spacing w:after="0" w:line="480" w:lineRule="auto"/>
        <w:ind w:firstLine="720"/>
        <w:rPr>
          <w:rFonts w:eastAsia="Times New Roman" w:cs="Times New Roman"/>
          <w:szCs w:val="24"/>
        </w:rPr>
      </w:pPr>
      <w:bookmarkStart w:id="0" w:name="_GoBack"/>
      <w:r w:rsidRPr="00B66607">
        <w:rPr>
          <w:rFonts w:eastAsia="Times New Roman" w:cs="Times New Roman"/>
          <w:szCs w:val="24"/>
        </w:rPr>
        <w:t xml:space="preserve">The shift to higher education can be described as a momentous point in the academic careers of students, and one that is increasingly being viewed by institutions as an area that needs deliberate nurturing. Seminars for first-year students have become a popular intervention to help them through this transition, but what is called effective practice is still a subject of considerable debate. </w:t>
      </w:r>
      <w:r w:rsidR="006B7B29" w:rsidRPr="00B66607">
        <w:rPr>
          <w:rFonts w:eastAsia="Times New Roman" w:cs="Times New Roman"/>
          <w:szCs w:val="24"/>
        </w:rPr>
        <w:fldChar w:fldCharType="begin"/>
      </w:r>
      <w:r w:rsidR="00C33B0C" w:rsidRPr="00B66607">
        <w:rPr>
          <w:rFonts w:eastAsia="Times New Roman" w:cs="Times New Roman"/>
          <w:szCs w:val="24"/>
        </w:rPr>
        <w:instrText xml:space="preserve"> ADDIN ZOTERO_ITEM CSL_CITATION {"citationID":"Nv2jo31I","properties":{"unsorted":false,"formattedCitation":"(Harrington, 2025)","plainCitation":"(Harrington, 2025)","dontUpdate":true,"noteIndex":0},"citationItems":[{"id":4027,"uris":["http://zotero.org/users/local/msOJBOCf/items/W9HSGSCU"],"itemData":{"id":4027,"type":"article-journal","abstract":"I conducted a narrative literature review on first-year seminars to provide practitioners and researchers with a current, comprehensive review of the research investigating the effectiveness of this widely used, high-impact practice so that they could use this information to improve the course at their institution. I searched for peer-reviewed research articles on the first-year seminar using six library databases and limited the search to 2014–2024. I discovered 424 articles using these search parameters. After applying inclusion and exclusion criteria, I determined 72 articles met the criteria and therefore included these articles in the review. There were a substantial number of research studies illustrating the positive impact of the first-year seminar on numerous success factors, including academic achievement, persistence, graduation, beliefs, and behaviors, but some studies failed to show positive findings associated with the course. Most researchers found similar outcomes for different types of first-year seminars, though some studies illustrated that academic-focused first-year seminars had more benefits. Research studies also explored implementation variables such as the number of credits, course topics, and teaching methods. A few studies highlighted how pairing the first-year seminar with other evidence-based practices can have promising results. Based on the findings, I share recommendations for practitioners and researchers.Accessibility Summary:In accordance with Title II regulations this content meets all points of exemption as Archived web content and/or Preexisting conventional electronic documents.","container-title":"Journal of Postsecondary Student Success","DOI":"10.33009/fsop_jpss135660","ISSN":"2769-4887","issue":"3","language":"en","license":"Copyright (c) 2025 Christine Harrington","page":"82-117","source":"journals.flvc.org","title":"Exploring the Relationship Between First-Year Seminars and Student Success Outcomes: A Narrative Literature Review","title-short":"Exploring the Relationship Between First-Year Seminars and Student Success Outcomes","volume":"4","author":[{"family":"Harrington","given":"Christine"}],"issued":{"date-parts":[["2025",4,29]]}}}],"schema":"https://github.com/citation-style-language/schema/raw/master/csl-citation.json"} </w:instrText>
      </w:r>
      <w:r w:rsidR="006B7B29" w:rsidRPr="00B66607">
        <w:rPr>
          <w:rFonts w:eastAsia="Times New Roman" w:cs="Times New Roman"/>
          <w:szCs w:val="24"/>
        </w:rPr>
        <w:fldChar w:fldCharType="separate"/>
      </w:r>
      <w:r w:rsidR="006B7B29" w:rsidRPr="00B66607">
        <w:rPr>
          <w:rFonts w:cs="Times New Roman"/>
        </w:rPr>
        <w:t>Harrington (2025)</w:t>
      </w:r>
      <w:r w:rsidR="006B7B29" w:rsidRPr="00B66607">
        <w:rPr>
          <w:rFonts w:eastAsia="Times New Roman" w:cs="Times New Roman"/>
          <w:szCs w:val="24"/>
        </w:rPr>
        <w:fldChar w:fldCharType="end"/>
      </w:r>
      <w:r w:rsidRPr="00B66607">
        <w:rPr>
          <w:rFonts w:eastAsia="Times New Roman" w:cs="Times New Roman"/>
          <w:szCs w:val="24"/>
        </w:rPr>
        <w:t xml:space="preserve"> argues that although these pedagogical approaches have been implemented over decades, there has been insufficient knowledge of how a particular pedagogical technique can provide students with success in various instituti</w:t>
      </w:r>
      <w:r w:rsidR="004B4442" w:rsidRPr="00B66607">
        <w:rPr>
          <w:rFonts w:eastAsia="Times New Roman" w:cs="Times New Roman"/>
          <w:szCs w:val="24"/>
        </w:rPr>
        <w:t>onal settings. Such a gap</w:t>
      </w:r>
      <w:r w:rsidRPr="00B66607">
        <w:rPr>
          <w:rFonts w:eastAsia="Times New Roman" w:cs="Times New Roman"/>
          <w:szCs w:val="24"/>
        </w:rPr>
        <w:t xml:space="preserve"> between common practice and evidence-based practice demonstrates the necessity of research that considers not just outcomes but also explains the lived experiences of both teachers and students.</w:t>
      </w:r>
    </w:p>
    <w:p w14:paraId="11834D83" w14:textId="77777777" w:rsidR="00000928" w:rsidRPr="00B66607" w:rsidRDefault="00000928" w:rsidP="009A4EE3">
      <w:pPr>
        <w:spacing w:after="0" w:line="480" w:lineRule="auto"/>
        <w:ind w:firstLine="720"/>
        <w:rPr>
          <w:rFonts w:eastAsia="Times New Roman" w:cs="Times New Roman"/>
          <w:szCs w:val="24"/>
        </w:rPr>
      </w:pPr>
      <w:r w:rsidRPr="00B66607">
        <w:rPr>
          <w:rFonts w:eastAsia="Times New Roman" w:cs="Times New Roman"/>
          <w:szCs w:val="24"/>
        </w:rPr>
        <w:t>The issue is especially acute due to the fact that first-year seminars differ tremendously in terms of their design, their delivery, and the outcomes they intend to achieve. Some institutions emphasize academic skills development while others prioritize social integration or discipline-specific introduction.</w:t>
      </w:r>
      <w:r w:rsidR="006B7B29" w:rsidRPr="00B66607">
        <w:rPr>
          <w:rFonts w:eastAsia="Times New Roman" w:cs="Times New Roman"/>
          <w:szCs w:val="24"/>
        </w:rPr>
        <w:t xml:space="preserve"> </w:t>
      </w:r>
      <w:r w:rsidR="006B7B29" w:rsidRPr="00B66607">
        <w:rPr>
          <w:rFonts w:eastAsia="Times New Roman" w:cs="Times New Roman"/>
          <w:szCs w:val="24"/>
        </w:rPr>
        <w:fldChar w:fldCharType="begin"/>
      </w:r>
      <w:r w:rsidR="006B7B29" w:rsidRPr="00B66607">
        <w:rPr>
          <w:rFonts w:eastAsia="Times New Roman" w:cs="Times New Roman"/>
          <w:szCs w:val="24"/>
        </w:rPr>
        <w:instrText xml:space="preserve"> ADDIN ZOTERO_ITEM CSL_CITATION {"citationID":"UtvEQYRw","properties":{"unsorted":false,"formattedCitation":"(Boettler et al., 2022)","plainCitation":"(Boettler et al., 2022)","noteIndex":0},"citationItems":[{"id":4029,"uris":["http://zotero.org/users/local/msOJBOCf/items/CG4UC6PF"],"itemData":{"id":4029,"type":"article-journal","abstract":"In this study, retention and academic performance of students enrolled in four different versions of a first-year seminar at a large, public 4-year university were compared for a 2-year period. The first-year seminars examined were 3-credit courses with either traditional, global, community engagement, or leadership themes and were essentially required of all first-year, full-time students. Statistical analysis using logistic regression and analysis of covariance were employed to determine whether differences existed. In addition, the variables of gender, race, high school grade point average, American College Testing/Scholastic Aptitude Test scores, type of instructor (full time or part time), and enrollment in a learning community were considered covariates in data analysis. The study revealed no significant differences in first-year to second-year retention rate or in academic performance as measured by college grade point average for the four different versions of the seminar; however, enrollment in a learning community did have significant impact on retention, even after controlling for covariates known to strongly affect retention.","container-title":"Journal of College Student Retention: Research, Theory &amp; Practice","DOI":"10.1177/1521025120912696","ISSN":"1521-0251, 1541-4167","issue":"1","journalAbbreviation":"Journal of College Student Retention: Research, Theory &amp; Practice","language":"en","page":"213-233","source":"Semantic Scholar","title":"Academic Skills, Community Engaged, Leadership, and Global Themed First-Year Seminars: Comparisons in Student Success","title-short":"Academic Skills, Community Engaged, Leadership, and Global Themed First-Year Seminars","volume":"24","author":[{"family":"Boettler","given":"Lynn M."},{"family":"Goldfine","given":"Ruth A."},{"family":"Leech","given":"Don W."},{"family":"Siegrist","given":"Gerald R. (Jerry)"}],"issued":{"date-parts":[["2022",5]]}}}],"schema":"https://github.com/citation-style-language/schema/raw/master/csl-citation.json"} </w:instrText>
      </w:r>
      <w:r w:rsidR="006B7B29" w:rsidRPr="00B66607">
        <w:rPr>
          <w:rFonts w:eastAsia="Times New Roman" w:cs="Times New Roman"/>
          <w:szCs w:val="24"/>
        </w:rPr>
        <w:fldChar w:fldCharType="separate"/>
      </w:r>
      <w:r w:rsidR="006B7B29" w:rsidRPr="00B66607">
        <w:rPr>
          <w:rFonts w:cs="Times New Roman"/>
        </w:rPr>
        <w:t>Boettler et al. (2022)</w:t>
      </w:r>
      <w:r w:rsidR="006B7B29" w:rsidRPr="00B66607">
        <w:rPr>
          <w:rFonts w:eastAsia="Times New Roman" w:cs="Times New Roman"/>
          <w:szCs w:val="24"/>
        </w:rPr>
        <w:fldChar w:fldCharType="end"/>
      </w:r>
      <w:r w:rsidRPr="00B66607">
        <w:rPr>
          <w:rFonts w:eastAsia="Times New Roman" w:cs="Times New Roman"/>
          <w:szCs w:val="24"/>
        </w:rPr>
        <w:t xml:space="preserve"> have shown that not all strategies result in similar outcomes, and themed seminars that target academic skills, community involvement, leadership, and global awareness do not lead to similar outcomes when it comes to student retention and grade point average. Such variability raises underlying concerns about the most effective pedagogical practices that can support student transition and the factors that mediate their effectiveness. Moreover, the student angle is not fully represented in the first-year seminar study to provide a complete picture of the working of these courses as a transitional process.</w:t>
      </w:r>
    </w:p>
    <w:p w14:paraId="7541624B" w14:textId="77777777" w:rsidR="00000928" w:rsidRPr="00B66607" w:rsidRDefault="00000928" w:rsidP="009A4EE3">
      <w:pPr>
        <w:spacing w:after="0" w:line="480" w:lineRule="auto"/>
        <w:ind w:firstLine="720"/>
        <w:rPr>
          <w:rFonts w:eastAsia="Times New Roman" w:cs="Times New Roman"/>
          <w:szCs w:val="24"/>
        </w:rPr>
      </w:pPr>
      <w:r w:rsidRPr="00B66607">
        <w:rPr>
          <w:rFonts w:eastAsia="Times New Roman" w:cs="Times New Roman"/>
          <w:szCs w:val="24"/>
        </w:rPr>
        <w:lastRenderedPageBreak/>
        <w:t xml:space="preserve">This qualitative research aims at exploring ideal practices in first-year seminars by researching both pedagogical strategies used by faculty and staff as well as the experiences of students enrolled in first-year seminars regarding transition. This dual focus acknowledges that efficient practice can never be established based on either the intention of the instructors or the perception of the students, but develops through the intersection of both of these visions. An interpretive qualitative method will be used in the research to produce a deep, </w:t>
      </w:r>
      <w:r w:rsidR="004B4442" w:rsidRPr="00B66607">
        <w:rPr>
          <w:rFonts w:eastAsia="Times New Roman" w:cs="Times New Roman"/>
          <w:szCs w:val="24"/>
        </w:rPr>
        <w:t>contextualized</w:t>
      </w:r>
      <w:r w:rsidRPr="00B66607">
        <w:rPr>
          <w:rFonts w:eastAsia="Times New Roman" w:cs="Times New Roman"/>
          <w:szCs w:val="24"/>
        </w:rPr>
        <w:t xml:space="preserve"> knowledge of how first-year seminars serve a function of transition support and what makes more successful and less successful practice in these spaces.</w:t>
      </w:r>
    </w:p>
    <w:p w14:paraId="6864D0ED" w14:textId="77777777" w:rsidR="00000928" w:rsidRPr="00B66607" w:rsidRDefault="00000928" w:rsidP="009A4EE3">
      <w:pPr>
        <w:spacing w:after="0" w:line="480" w:lineRule="auto"/>
        <w:ind w:firstLine="720"/>
        <w:rPr>
          <w:rFonts w:eastAsia="Times New Roman" w:cs="Times New Roman"/>
          <w:szCs w:val="24"/>
        </w:rPr>
      </w:pPr>
      <w:r w:rsidRPr="00B66607">
        <w:rPr>
          <w:rFonts w:eastAsia="Times New Roman" w:cs="Times New Roman"/>
          <w:szCs w:val="24"/>
        </w:rPr>
        <w:t>This research is relevant in the sense that it can help in closing the gap between theory and practice.</w:t>
      </w:r>
      <w:r w:rsidR="007959CA" w:rsidRPr="00B66607">
        <w:rPr>
          <w:rFonts w:eastAsia="Times New Roman" w:cs="Times New Roman"/>
          <w:szCs w:val="24"/>
        </w:rPr>
        <w:t xml:space="preserve"> </w:t>
      </w:r>
      <w:r w:rsidR="007959CA" w:rsidRPr="00B66607">
        <w:rPr>
          <w:rFonts w:eastAsia="Times New Roman" w:cs="Times New Roman"/>
          <w:szCs w:val="24"/>
        </w:rPr>
        <w:fldChar w:fldCharType="begin"/>
      </w:r>
      <w:r w:rsidR="007959CA" w:rsidRPr="00B66607">
        <w:rPr>
          <w:rFonts w:eastAsia="Times New Roman" w:cs="Times New Roman"/>
          <w:szCs w:val="24"/>
        </w:rPr>
        <w:instrText xml:space="preserve"> ADDIN ZOTERO_ITEM CSL_CITATION {"citationID":"SBejnPwa","properties":{"unsorted":false,"formattedCitation":"(Permzadian &amp; Cred\\uc0\\u233{}, 2016)","plainCitation":"(Permzadian &amp; Credé, 2016)","noteIndex":0},"citationItems":[{"id":4031,"uris":["http://zotero.org/users/local/msOJBOCf/items/GMINQRE3"],"itemData":{"id":4031,"type":"article-journal","abstract":"We review the effectiveness of first-year seminars based on the widely used criteria of first-year grades and the 1-year retention rate. Meta-analytic results indicate that first-year seminars have a small average effect on both first-year grades (k = 89, N = 52,406, δ = 0.02) and the 1-year retention rate (k = 195, N = 169,666, δ = 0.11). We discuss the implications of these small effects and show that they are meaningful and have important consequences. Results also indicate that the effectiveness of first-year seminars for both criteria is substantially moderated by first-year seminar characteristics (e.g., type of seminar), institutional characteristics (e.g., 2-year or 4-year institution), and study characteristics (e.g., study design). We use these results to make recommendations about the design of first-year seminars that can maximize the positive effect on both the grades and retention of participants.","container-title":"Review of Educational Research","DOI":"10.3102/0034654315584955","ISSN":"0034-6543","issue":"1","language":"EN","page":"277-316","publisher":"American Educational Research Association","source":"SAGE Journals","title":"Do First-Year Seminars Improve College Grades and Retention? A Quantitative Review of Their Overall Effectiveness and an Examination of Moderators of Effectiveness","title-short":"Do First-Year Seminars Improve College Grades and Retention?","volume":"86","author":[{"family":"Permzadian","given":"Vahe"},{"family":"Credé","given":"Marcus"}],"issued":{"date-parts":[["2016",3,1]]}}}],"schema":"https://github.com/citation-style-language/schema/raw/master/csl-citation.json"} </w:instrText>
      </w:r>
      <w:r w:rsidR="007959CA" w:rsidRPr="00B66607">
        <w:rPr>
          <w:rFonts w:eastAsia="Times New Roman" w:cs="Times New Roman"/>
          <w:szCs w:val="24"/>
        </w:rPr>
        <w:fldChar w:fldCharType="separate"/>
      </w:r>
      <w:r w:rsidR="007959CA" w:rsidRPr="00B66607">
        <w:rPr>
          <w:rFonts w:cs="Times New Roman"/>
          <w:szCs w:val="24"/>
        </w:rPr>
        <w:t>Permzadian &amp; Credé (2016)</w:t>
      </w:r>
      <w:r w:rsidR="007959CA" w:rsidRPr="00B66607">
        <w:rPr>
          <w:rFonts w:eastAsia="Times New Roman" w:cs="Times New Roman"/>
          <w:szCs w:val="24"/>
        </w:rPr>
        <w:fldChar w:fldCharType="end"/>
      </w:r>
      <w:r w:rsidRPr="00B66607">
        <w:rPr>
          <w:rFonts w:eastAsia="Times New Roman" w:cs="Times New Roman"/>
          <w:szCs w:val="24"/>
        </w:rPr>
        <w:t xml:space="preserve"> concluded that first-year seminars are linked to better academic performance and retention, yet these effects mask differences in program quality. This study can guide more deliberate seminar design by pinpointing effective practices and investigating how students feel about those practices. It can also point out discrepancies between faculty intentions and student experiences, and provide prospects of improvement. With the growing attention to student success, especially among diverse groups, a more definitive perception of successful first-year seminar practices is both opportune and requisite.</w:t>
      </w:r>
    </w:p>
    <w:p w14:paraId="7EB013B2" w14:textId="77777777" w:rsidR="00CD1F1B" w:rsidRPr="00B66607" w:rsidRDefault="00CD1F1B" w:rsidP="00C33B0C">
      <w:pPr>
        <w:pStyle w:val="Heading2"/>
        <w:spacing w:before="0" w:beforeAutospacing="0" w:after="0" w:afterAutospacing="0" w:line="480" w:lineRule="auto"/>
        <w:rPr>
          <w:sz w:val="24"/>
          <w:szCs w:val="24"/>
        </w:rPr>
      </w:pPr>
      <w:r w:rsidRPr="00B66607">
        <w:rPr>
          <w:rStyle w:val="Strong"/>
          <w:b/>
          <w:bCs/>
          <w:sz w:val="24"/>
          <w:szCs w:val="24"/>
        </w:rPr>
        <w:t>Research Aims</w:t>
      </w:r>
    </w:p>
    <w:p w14:paraId="43F0A0AE" w14:textId="77777777" w:rsidR="00C33B0C" w:rsidRPr="00B66607" w:rsidRDefault="009A4EE3" w:rsidP="00C33B0C">
      <w:pPr>
        <w:spacing w:after="120" w:line="480" w:lineRule="auto"/>
        <w:ind w:firstLine="720"/>
        <w:rPr>
          <w:rFonts w:eastAsia="Times New Roman" w:cs="Times New Roman"/>
          <w:szCs w:val="24"/>
        </w:rPr>
      </w:pPr>
      <w:r w:rsidRPr="00B66607">
        <w:rPr>
          <w:rFonts w:eastAsia="Times New Roman" w:cs="Times New Roman"/>
          <w:szCs w:val="24"/>
        </w:rPr>
        <w:t>The main objective of the research is to investigate best practices in first-year seminars using an interpretive analysis of faculty, staff, and student opinions. It attempts to determine the interactions between pedagogical methods and student experience to aid in transition, re</w:t>
      </w:r>
      <w:r w:rsidR="00C33B0C" w:rsidRPr="00B66607">
        <w:rPr>
          <w:rFonts w:eastAsia="Times New Roman" w:cs="Times New Roman"/>
          <w:szCs w:val="24"/>
        </w:rPr>
        <w:t>tention, and success in school.</w:t>
      </w:r>
    </w:p>
    <w:p w14:paraId="0151075C" w14:textId="6A02E3BF" w:rsidR="009A4EE3" w:rsidRPr="00B66607" w:rsidRDefault="00271464" w:rsidP="00C33B0C">
      <w:pPr>
        <w:spacing w:after="120" w:line="480" w:lineRule="auto"/>
        <w:ind w:firstLine="720"/>
        <w:rPr>
          <w:rFonts w:eastAsia="Times New Roman" w:cs="Times New Roman"/>
          <w:szCs w:val="24"/>
        </w:rPr>
      </w:pPr>
      <w:r w:rsidRPr="00B66607">
        <w:rPr>
          <w:rFonts w:eastAsia="Times New Roman" w:cs="Times New Roman"/>
          <w:szCs w:val="24"/>
        </w:rPr>
        <w:t xml:space="preserve">One of the secondary objectives of this study is to reflect on the relationship between these perspectives and the available theory of student transition, namely, the Transition Theory </w:t>
      </w:r>
      <w:r w:rsidRPr="00B66607">
        <w:rPr>
          <w:rFonts w:eastAsia="Times New Roman" w:cs="Times New Roman"/>
          <w:szCs w:val="24"/>
        </w:rPr>
        <w:lastRenderedPageBreak/>
        <w:t>by Schlossberg and the Model of Student Integration by Tinto. This will establish whether these theories are relevant in the contemporary context of higher education.</w:t>
      </w:r>
    </w:p>
    <w:p w14:paraId="1C94073A" w14:textId="77777777" w:rsidR="00CD1F1B" w:rsidRPr="00B66607" w:rsidRDefault="00CD1F1B" w:rsidP="00C33B0C">
      <w:pPr>
        <w:pStyle w:val="Heading2"/>
        <w:spacing w:before="0" w:beforeAutospacing="0" w:after="0" w:afterAutospacing="0" w:line="480" w:lineRule="auto"/>
        <w:rPr>
          <w:sz w:val="24"/>
          <w:szCs w:val="24"/>
        </w:rPr>
      </w:pPr>
      <w:r w:rsidRPr="00B66607">
        <w:rPr>
          <w:rStyle w:val="Strong"/>
          <w:b/>
          <w:bCs/>
          <w:sz w:val="24"/>
          <w:szCs w:val="24"/>
        </w:rPr>
        <w:t>Research Questions</w:t>
      </w:r>
    </w:p>
    <w:p w14:paraId="2002343A" w14:textId="77777777" w:rsidR="00271464" w:rsidRPr="00B66607" w:rsidRDefault="00271464" w:rsidP="00271464">
      <w:pPr>
        <w:spacing w:after="120" w:line="480" w:lineRule="auto"/>
        <w:rPr>
          <w:rFonts w:eastAsia="Times New Roman" w:cs="Times New Roman"/>
          <w:szCs w:val="24"/>
        </w:rPr>
      </w:pPr>
      <w:r w:rsidRPr="00B66607">
        <w:rPr>
          <w:rFonts w:eastAsia="Times New Roman" w:cs="Times New Roman"/>
          <w:szCs w:val="24"/>
        </w:rPr>
        <w:tab/>
        <w:t>The study will be guided by the following research questions:</w:t>
      </w:r>
    </w:p>
    <w:p w14:paraId="0F9A5044" w14:textId="77777777" w:rsidR="00271464" w:rsidRPr="00EB42A8" w:rsidRDefault="00271464" w:rsidP="00EB42A8">
      <w:pPr>
        <w:pStyle w:val="ListParagraph"/>
        <w:numPr>
          <w:ilvl w:val="0"/>
          <w:numId w:val="3"/>
        </w:numPr>
        <w:spacing w:after="120" w:line="480" w:lineRule="auto"/>
        <w:rPr>
          <w:rFonts w:eastAsia="Times New Roman" w:cs="Times New Roman"/>
          <w:szCs w:val="24"/>
        </w:rPr>
      </w:pPr>
      <w:r w:rsidRPr="00EB42A8">
        <w:rPr>
          <w:rFonts w:eastAsia="Times New Roman" w:cs="Times New Roman"/>
          <w:szCs w:val="24"/>
        </w:rPr>
        <w:t xml:space="preserve">Which pedagogical practices in student transition and success do faculty and staff believe are the best in first-year seminars? </w:t>
      </w:r>
    </w:p>
    <w:p w14:paraId="2E060736" w14:textId="77777777" w:rsidR="00271464" w:rsidRPr="00EB42A8" w:rsidRDefault="00271464" w:rsidP="00EB42A8">
      <w:pPr>
        <w:pStyle w:val="ListParagraph"/>
        <w:numPr>
          <w:ilvl w:val="0"/>
          <w:numId w:val="3"/>
        </w:numPr>
        <w:spacing w:after="120" w:line="480" w:lineRule="auto"/>
        <w:rPr>
          <w:rFonts w:eastAsia="Times New Roman" w:cs="Times New Roman"/>
          <w:szCs w:val="24"/>
        </w:rPr>
      </w:pPr>
      <w:r w:rsidRPr="00EB42A8">
        <w:rPr>
          <w:rFonts w:eastAsia="Times New Roman" w:cs="Times New Roman"/>
          <w:szCs w:val="24"/>
        </w:rPr>
        <w:t xml:space="preserve">What experiences and impressions do students taking first-year seminars have upon entering the field of higher education? </w:t>
      </w:r>
    </w:p>
    <w:p w14:paraId="384F7989" w14:textId="77777777" w:rsidR="00271464" w:rsidRPr="00EB42A8" w:rsidRDefault="00271464" w:rsidP="00EB42A8">
      <w:pPr>
        <w:pStyle w:val="ListParagraph"/>
        <w:numPr>
          <w:ilvl w:val="0"/>
          <w:numId w:val="3"/>
        </w:numPr>
        <w:spacing w:after="120" w:line="480" w:lineRule="auto"/>
        <w:rPr>
          <w:rFonts w:eastAsia="Times New Roman" w:cs="Times New Roman"/>
          <w:szCs w:val="24"/>
        </w:rPr>
      </w:pPr>
      <w:r w:rsidRPr="00EB42A8">
        <w:rPr>
          <w:rFonts w:eastAsia="Times New Roman" w:cs="Times New Roman"/>
          <w:szCs w:val="24"/>
        </w:rPr>
        <w:t xml:space="preserve">How do the faculty and student perspectives intersect and diverge with regard to the effective practices of the first-year seminars? </w:t>
      </w:r>
    </w:p>
    <w:p w14:paraId="1203E0F3" w14:textId="5BF64B38" w:rsidR="009A4EE3" w:rsidRPr="00EB42A8" w:rsidRDefault="00271464" w:rsidP="00EB42A8">
      <w:pPr>
        <w:pStyle w:val="ListParagraph"/>
        <w:numPr>
          <w:ilvl w:val="0"/>
          <w:numId w:val="3"/>
        </w:numPr>
        <w:spacing w:after="120" w:line="480" w:lineRule="auto"/>
        <w:rPr>
          <w:rFonts w:eastAsia="Times New Roman" w:cs="Times New Roman"/>
          <w:szCs w:val="24"/>
        </w:rPr>
      </w:pPr>
      <w:r w:rsidRPr="00EB42A8">
        <w:rPr>
          <w:rFonts w:eastAsia="Times New Roman" w:cs="Times New Roman"/>
          <w:szCs w:val="24"/>
        </w:rPr>
        <w:t>How are these practices and experiences related to other important theories of student transition, such as Transition Theory developed by Schlossberg and Integration Model developed by Tinto?</w:t>
      </w:r>
    </w:p>
    <w:p w14:paraId="39D97D74" w14:textId="77777777" w:rsidR="00CD1F1B" w:rsidRPr="00B66607" w:rsidRDefault="00CD1F1B" w:rsidP="009A4EE3">
      <w:pPr>
        <w:spacing w:after="0" w:line="480" w:lineRule="auto"/>
        <w:outlineLvl w:val="2"/>
        <w:rPr>
          <w:rFonts w:eastAsia="Times New Roman" w:cs="Times New Roman"/>
          <w:b/>
          <w:bCs/>
          <w:szCs w:val="24"/>
        </w:rPr>
      </w:pPr>
      <w:r w:rsidRPr="00B66607">
        <w:rPr>
          <w:rFonts w:eastAsia="Times New Roman" w:cs="Times New Roman"/>
          <w:b/>
          <w:bCs/>
          <w:szCs w:val="24"/>
        </w:rPr>
        <w:t>Literature Review</w:t>
      </w:r>
    </w:p>
    <w:p w14:paraId="67AEA74D" w14:textId="59B9FC52" w:rsidR="009A4EE3" w:rsidRPr="00B66607" w:rsidRDefault="00271464" w:rsidP="00C33B0C">
      <w:pPr>
        <w:spacing w:after="0" w:line="480" w:lineRule="auto"/>
        <w:ind w:firstLine="720"/>
        <w:rPr>
          <w:rFonts w:eastAsia="Times New Roman" w:cs="Times New Roman"/>
          <w:szCs w:val="24"/>
        </w:rPr>
      </w:pPr>
      <w:r w:rsidRPr="00B66607">
        <w:rPr>
          <w:rFonts w:eastAsia="Times New Roman" w:cs="Times New Roman"/>
          <w:szCs w:val="24"/>
        </w:rPr>
        <w:t xml:space="preserve">Research studies that investigate first-year seminars (FYS) have consistently demonstrated that they are positively correlated with student outcomes. These also indicate a high degree of variability in the design and effectiveness of these programs. For example, in a narrative review, Harrington (2025) synthesized 72 studies published between 2014 and 2024, indicating that FYS participation is generally related to improved retention and academic achievement. However, the review also notes that there is a serious gap in research, such as an inability to identify which elements of the programs are causing this effect. Similarly, the meta-analysis carried out by </w:t>
      </w:r>
      <w:proofErr w:type="spellStart"/>
      <w:r w:rsidRPr="00B66607">
        <w:rPr>
          <w:rFonts w:eastAsia="Times New Roman" w:cs="Times New Roman"/>
          <w:szCs w:val="24"/>
        </w:rPr>
        <w:t>Permzadian</w:t>
      </w:r>
      <w:proofErr w:type="spellEnd"/>
      <w:r w:rsidRPr="00B66607">
        <w:rPr>
          <w:rFonts w:eastAsia="Times New Roman" w:cs="Times New Roman"/>
          <w:szCs w:val="24"/>
        </w:rPr>
        <w:t xml:space="preserve"> and </w:t>
      </w:r>
      <w:proofErr w:type="spellStart"/>
      <w:r w:rsidRPr="00B66607">
        <w:rPr>
          <w:rFonts w:eastAsia="Times New Roman" w:cs="Times New Roman"/>
          <w:szCs w:val="24"/>
        </w:rPr>
        <w:t>Credé</w:t>
      </w:r>
      <w:proofErr w:type="spellEnd"/>
      <w:r w:rsidRPr="00B66607">
        <w:rPr>
          <w:rFonts w:eastAsia="Times New Roman" w:cs="Times New Roman"/>
          <w:szCs w:val="24"/>
        </w:rPr>
        <w:t xml:space="preserve"> (2016) concludes that the effects on grade point average and retention are small yet significant, but that the context specific to the institution is </w:t>
      </w:r>
      <w:r w:rsidRPr="00B66607">
        <w:rPr>
          <w:rFonts w:eastAsia="Times New Roman" w:cs="Times New Roman"/>
          <w:szCs w:val="24"/>
        </w:rPr>
        <w:lastRenderedPageBreak/>
        <w:t>important. These findings show that both the effectiveness of FYS and its context are important factors when investigating student success.</w:t>
      </w:r>
    </w:p>
    <w:p w14:paraId="32551ED9" w14:textId="77777777" w:rsidR="00C33B0C" w:rsidRPr="00B66607" w:rsidRDefault="009A4EE3" w:rsidP="00C33B0C">
      <w:pPr>
        <w:spacing w:after="0" w:line="480" w:lineRule="auto"/>
        <w:ind w:firstLine="720"/>
        <w:rPr>
          <w:rFonts w:eastAsia="Times New Roman" w:cs="Times New Roman"/>
          <w:szCs w:val="24"/>
        </w:rPr>
      </w:pPr>
      <w:r w:rsidRPr="00B66607">
        <w:rPr>
          <w:rFonts w:eastAsia="Times New Roman" w:cs="Times New Roman"/>
          <w:szCs w:val="24"/>
        </w:rPr>
        <w:t xml:space="preserve">Things get even more complicated by the variation in the design of the programs. As revealed by </w:t>
      </w:r>
      <w:r w:rsidR="00C33B0C" w:rsidRPr="00B66607">
        <w:rPr>
          <w:rFonts w:eastAsia="Times New Roman" w:cs="Times New Roman"/>
          <w:szCs w:val="24"/>
        </w:rPr>
        <w:fldChar w:fldCharType="begin"/>
      </w:r>
      <w:r w:rsidR="00C33B0C" w:rsidRPr="00B66607">
        <w:rPr>
          <w:rFonts w:eastAsia="Times New Roman" w:cs="Times New Roman"/>
          <w:szCs w:val="24"/>
        </w:rPr>
        <w:instrText xml:space="preserve"> ADDIN ZOTERO_ITEM CSL_CITATION {"citationID":"Y2ifWjiU","properties":{"unsorted":false,"formattedCitation":"(Boettler et al., 2022)","plainCitation":"(Boettler et al., 2022)","noteIndex":0},"citationItems":[{"id":4029,"uris":["http://zotero.org/users/local/msOJBOCf/items/CG4UC6PF"],"itemData":{"id":4029,"type":"article-journal","abstract":"In this study, retention and academic performance of students enrolled in four different versions of a first-year seminar at a large, public 4-year university were compared for a 2-year period. The first-year seminars examined were 3-credit courses with either traditional, global, community engagement, or leadership themes and were essentially required of all first-year, full-time students. Statistical analysis using logistic regression and analysis of covariance were employed to determine whether differences existed. In addition, the variables of gender, race, high school grade point average, American College Testing/Scholastic Aptitude Test scores, type of instructor (full time or part time), and enrollment in a learning community were considered covariates in data analysis. The study revealed no significant differences in first-year to second-year retention rate or in academic performance as measured by college grade point average for the four different versions of the seminar; however, enrollment in a learning community did have significant impact on retention, even after controlling for covariates known to strongly affect retention.","container-title":"Journal of College Student Retention: Research, Theory &amp; Practice","DOI":"10.1177/1521025120912696","ISSN":"1521-0251, 1541-4167","issue":"1","journalAbbreviation":"Journal of College Student Retention: Research, Theory &amp; Practice","language":"en","page":"213-233","source":"Semantic Scholar","title":"Academic Skills, Community Engaged, Leadership, and Global Themed First-Year Seminars: Comparisons in Student Success","title-short":"Academic Skills, Community Engaged, Leadership, and Global Themed First-Year Seminars","volume":"24","author":[{"family":"Boettler","given":"Lynn M."},{"family":"Goldfine","given":"Ruth A."},{"family":"Leech","given":"Don W."},{"family":"Siegrist","given":"Gerald R. (Jerry)"}],"issued":{"date-parts":[["2022",5]]}}}],"schema":"https://github.com/citation-style-language/schema/raw/master/csl-citation.json"} </w:instrText>
      </w:r>
      <w:r w:rsidR="00C33B0C" w:rsidRPr="00B66607">
        <w:rPr>
          <w:rFonts w:eastAsia="Times New Roman" w:cs="Times New Roman"/>
          <w:szCs w:val="24"/>
        </w:rPr>
        <w:fldChar w:fldCharType="separate"/>
      </w:r>
      <w:r w:rsidR="00C33B0C" w:rsidRPr="00B66607">
        <w:rPr>
          <w:rFonts w:cs="Times New Roman"/>
        </w:rPr>
        <w:t>Boettler et al. (2022)</w:t>
      </w:r>
      <w:r w:rsidR="00C33B0C" w:rsidRPr="00B66607">
        <w:rPr>
          <w:rFonts w:eastAsia="Times New Roman" w:cs="Times New Roman"/>
          <w:szCs w:val="24"/>
        </w:rPr>
        <w:fldChar w:fldCharType="end"/>
      </w:r>
      <w:r w:rsidRPr="00B66607">
        <w:rPr>
          <w:rFonts w:eastAsia="Times New Roman" w:cs="Times New Roman"/>
          <w:szCs w:val="24"/>
        </w:rPr>
        <w:t>, the themes of seminars have different impacts, with academic skills-driven seminars having a more pronounced impact on academic performance and community-based formats on the sense of belonging of students. This undermines assumptions of equivalence between different FYS program models and suggests a need to better understand how diverse teaching approaches impact academic and social aspects of students' transition. Yet these studies are largely quantitative and provide little information about why the difference exists or how students perceive their experience of different FYS formats. This suggests further qualitative research is needed to understand ho</w:t>
      </w:r>
      <w:r w:rsidR="00C33B0C" w:rsidRPr="00B66607">
        <w:rPr>
          <w:rFonts w:eastAsia="Times New Roman" w:cs="Times New Roman"/>
          <w:szCs w:val="24"/>
        </w:rPr>
        <w:t>w these differences come about.</w:t>
      </w:r>
    </w:p>
    <w:p w14:paraId="068D3790" w14:textId="77777777" w:rsidR="00C33B0C" w:rsidRPr="00B66607" w:rsidRDefault="009A4EE3" w:rsidP="00C33B0C">
      <w:pPr>
        <w:spacing w:after="0" w:line="480" w:lineRule="auto"/>
        <w:ind w:firstLine="720"/>
        <w:rPr>
          <w:rFonts w:eastAsia="Times New Roman" w:cs="Times New Roman"/>
          <w:szCs w:val="24"/>
        </w:rPr>
      </w:pPr>
      <w:r w:rsidRPr="00B66607">
        <w:rPr>
          <w:rFonts w:eastAsia="Times New Roman" w:cs="Times New Roman"/>
          <w:szCs w:val="24"/>
        </w:rPr>
        <w:t>Theoretical insights into how FYS might contribute to student transition are useful but not fully developed.</w:t>
      </w:r>
      <w:r w:rsidR="00C33B0C" w:rsidRPr="00B66607">
        <w:rPr>
          <w:rFonts w:eastAsia="Times New Roman" w:cs="Times New Roman"/>
          <w:szCs w:val="24"/>
        </w:rPr>
        <w:t xml:space="preserve"> </w:t>
      </w:r>
      <w:r w:rsidR="00C33B0C" w:rsidRPr="00B66607">
        <w:rPr>
          <w:rFonts w:eastAsia="Times New Roman" w:cs="Times New Roman"/>
          <w:szCs w:val="24"/>
        </w:rPr>
        <w:fldChar w:fldCharType="begin"/>
      </w:r>
      <w:r w:rsidR="00C33B0C" w:rsidRPr="00B66607">
        <w:rPr>
          <w:rFonts w:eastAsia="Times New Roman" w:cs="Times New Roman"/>
          <w:szCs w:val="24"/>
        </w:rPr>
        <w:instrText xml:space="preserve"> ADDIN ZOTERO_ITEM CSL_CITATION {"citationID":"Ln0Zu72T","properties":{"unsorted":false,"formattedCitation":"(Samoila &amp; Vrabie, 2023)","plainCitation":"(Samoila &amp; Vrabie, 2023)","noteIndex":0},"citationItems":[{"id":4032,"uris":["http://zotero.org/users/local/msOJBOCf/items/IEZY8NV6"],"itemData":{"id":4032,"type":"article-journal","abstract":"Vincent Tinto is a towering figure in the study of dropout in higher education whose theory regarding student departure is a widely accepted contribution that explains how students become involved in the academic community and how their level of engagement impacts their decision to persist or to drop out. The aim of this study is to advance understanding of how Vincent Tinto’s theories influence the current practices and support services offered by higher education institutions to freshman students through first-year seminars (FYS). A systematic review was conducted based on 23 peer-reviewed articles published between 2020 and 2022, selected through a multi-stage process. The findings indicate three categories of studies that capitalize on Tinto’s theories with regard to the design, conduct and evaluation of first-year seminars: a. studies that assess the role of students’ personal and psychological variables, considered within FYS; b. studies that analyze the pedagogical and counselling interventions destined to students within FYS; c. studies that analyze the role of the social and relational dimension within FYS.","container-title":"Frontiers in Education","DOI":"10.3389/feduc.2023.1205667","ISSN":"2504-284X","journalAbbreviation":"Front. Educ.","language":"English","publisher":"Frontiers","source":"Frontiers","title":"First-year seminars through the lens of Vincent Tinto's theories of student departure. A systematic review","URL":"https://www.frontiersin.org/journals/education/articles/10.3389/feduc.2023.1205667/full","volume":"8","author":[{"family":"Samoila","given":"Magda Elena"},{"family":"Vrabie","given":"Tina"}],"accessed":{"date-parts":[["2026",5,1]]},"issued":{"date-parts":[["2023",6,16]]}}}],"schema":"https://github.com/citation-style-language/schema/raw/master/csl-citation.json"} </w:instrText>
      </w:r>
      <w:r w:rsidR="00C33B0C" w:rsidRPr="00B66607">
        <w:rPr>
          <w:rFonts w:eastAsia="Times New Roman" w:cs="Times New Roman"/>
          <w:szCs w:val="24"/>
        </w:rPr>
        <w:fldChar w:fldCharType="separate"/>
      </w:r>
      <w:r w:rsidR="00C33B0C" w:rsidRPr="00B66607">
        <w:rPr>
          <w:rFonts w:cs="Times New Roman"/>
        </w:rPr>
        <w:t>Samoila &amp; Vrabie (2023)</w:t>
      </w:r>
      <w:r w:rsidR="00C33B0C" w:rsidRPr="00B66607">
        <w:rPr>
          <w:rFonts w:eastAsia="Times New Roman" w:cs="Times New Roman"/>
          <w:szCs w:val="24"/>
        </w:rPr>
        <w:fldChar w:fldCharType="end"/>
      </w:r>
      <w:r w:rsidRPr="00B66607">
        <w:rPr>
          <w:rFonts w:eastAsia="Times New Roman" w:cs="Times New Roman"/>
          <w:szCs w:val="24"/>
        </w:rPr>
        <w:t>, using Tinto's Model of Student Integration, demonstrate that good seminars facilitate academic and social integration when they are designed with these principles in mind. This supports the theoretical assumptions of FYS, but the authors also note that few studies report whether students actually experience these t</w:t>
      </w:r>
      <w:r w:rsidR="00C33B0C" w:rsidRPr="00B66607">
        <w:rPr>
          <w:rFonts w:eastAsia="Times New Roman" w:cs="Times New Roman"/>
          <w:szCs w:val="24"/>
        </w:rPr>
        <w:t xml:space="preserve">ypes of integration. Likewise, </w:t>
      </w:r>
      <w:r w:rsidR="00C33B0C" w:rsidRPr="00B66607">
        <w:rPr>
          <w:rFonts w:eastAsia="Times New Roman" w:cs="Times New Roman"/>
          <w:szCs w:val="24"/>
        </w:rPr>
        <w:fldChar w:fldCharType="begin"/>
      </w:r>
      <w:r w:rsidR="00C33B0C" w:rsidRPr="00B66607">
        <w:rPr>
          <w:rFonts w:eastAsia="Times New Roman" w:cs="Times New Roman"/>
          <w:szCs w:val="24"/>
        </w:rPr>
        <w:instrText xml:space="preserve"> ADDIN ZOTERO_ITEM CSL_CITATION {"citationID":"dgXWzsfL","properties":{"unsorted":false,"formattedCitation":"(Lazarowicz, 2015)","plainCitation":"(Lazarowicz, 2015)","noteIndex":0},"citationItems":[{"id":4034,"uris":["http://zotero.org/users/local/msOJBOCf/items/G4HDZWFI"],"itemData":{"id":4034,"type":"article-journal","container-title":"Department of Educational Administration: Dissertations, Theses, and Student Research","source":"COinS","title":"Understanding the Transition Experience of Community College Transfer Students to a 4-year University: Incorporating Schlossberg’s Transition Theory into Higher Education","title-short":"Understanding the Transition Experience of Community College Transfer Students to a 4-year University","URL":"https://digitalcommons.unl.edu/cehsedaddiss/216","author":[{"family":"Lazarowicz","given":"Tony"}],"issued":{"date-parts":[["2015",5,1]]}}}],"schema":"https://github.com/citation-style-language/schema/raw/master/csl-citation.json"} </w:instrText>
      </w:r>
      <w:r w:rsidR="00C33B0C" w:rsidRPr="00B66607">
        <w:rPr>
          <w:rFonts w:eastAsia="Times New Roman" w:cs="Times New Roman"/>
          <w:szCs w:val="24"/>
        </w:rPr>
        <w:fldChar w:fldCharType="separate"/>
      </w:r>
      <w:r w:rsidR="00C33B0C" w:rsidRPr="00B66607">
        <w:rPr>
          <w:rFonts w:cs="Times New Roman"/>
        </w:rPr>
        <w:t>Lazarowicz (2015)</w:t>
      </w:r>
      <w:r w:rsidR="00C33B0C" w:rsidRPr="00B66607">
        <w:rPr>
          <w:rFonts w:eastAsia="Times New Roman" w:cs="Times New Roman"/>
          <w:szCs w:val="24"/>
        </w:rPr>
        <w:fldChar w:fldCharType="end"/>
      </w:r>
      <w:r w:rsidRPr="00B66607">
        <w:rPr>
          <w:rFonts w:eastAsia="Times New Roman" w:cs="Times New Roman"/>
          <w:szCs w:val="24"/>
        </w:rPr>
        <w:t>, drawing on Schlossberg's Transition Theory, explains how students' adaptation is based on their perceptions of situation, support, self, and coping strategies. Although this highlights the importance of psychological and contextual factors in transition, the study does not specifically address how FYS functions as a mechanism</w:t>
      </w:r>
      <w:r w:rsidR="00C33B0C" w:rsidRPr="00B66607">
        <w:rPr>
          <w:rFonts w:eastAsia="Times New Roman" w:cs="Times New Roman"/>
          <w:szCs w:val="24"/>
        </w:rPr>
        <w:t xml:space="preserve"> for delivering these supports.</w:t>
      </w:r>
    </w:p>
    <w:p w14:paraId="729942C9" w14:textId="77777777" w:rsidR="009A4EE3" w:rsidRPr="00B66607" w:rsidRDefault="009A4EE3" w:rsidP="00C33B0C">
      <w:pPr>
        <w:spacing w:after="0" w:line="480" w:lineRule="auto"/>
        <w:ind w:firstLine="720"/>
        <w:rPr>
          <w:rFonts w:eastAsia="Times New Roman" w:cs="Times New Roman"/>
          <w:szCs w:val="24"/>
        </w:rPr>
      </w:pPr>
      <w:r w:rsidRPr="00B66607">
        <w:rPr>
          <w:rFonts w:eastAsia="Times New Roman" w:cs="Times New Roman"/>
          <w:szCs w:val="24"/>
        </w:rPr>
        <w:t>Recent qualitative research adds complexity to conventional views on transition.</w:t>
      </w:r>
      <w:r w:rsidR="00C33B0C" w:rsidRPr="00B66607">
        <w:rPr>
          <w:rFonts w:eastAsia="Times New Roman" w:cs="Times New Roman"/>
          <w:szCs w:val="24"/>
        </w:rPr>
        <w:t xml:space="preserve"> </w:t>
      </w:r>
      <w:r w:rsidR="00C33B0C" w:rsidRPr="00B66607">
        <w:rPr>
          <w:rFonts w:eastAsia="Times New Roman" w:cs="Times New Roman"/>
          <w:szCs w:val="24"/>
        </w:rPr>
        <w:fldChar w:fldCharType="begin"/>
      </w:r>
      <w:r w:rsidR="00C33B0C" w:rsidRPr="00B66607">
        <w:rPr>
          <w:rFonts w:eastAsia="Times New Roman" w:cs="Times New Roman"/>
          <w:szCs w:val="24"/>
        </w:rPr>
        <w:instrText xml:space="preserve"> ADDIN ZOTERO_ITEM CSL_CITATION {"citationID":"grfvbCbU","properties":{"unsorted":false,"formattedCitation":"(Cree et al., 2017)","plainCitation":"(Cree et al., 2017)","noteIndex":0},"citationItems":[{"id":4036,"uris":["http://zotero.org/users/local/msOJBOCf/items/P2Y7PYEC"],"itemData":{"id":4036,"type":"article-journal","container-title":"Higher Education","DOI":"10.1007/s10734-016-0101-1","ISSN":"0018-1560","issue":"3","language":"English","page":"389-406","publisher":"Springer","source":"www.research.ed.ac.uk","title":"From further to higher education: Transition as an ongoing process","title-short":"From further to higher education","volume":"73","author":[{"family":"Cree","given":"Viviene"},{"family":"Tett","given":"Evelyn"},{"family":"Christie","given":"Hazel"}],"issued":{"date-parts":[["2017",3,30]]}}}],"schema":"https://github.com/citation-style-language/schema/raw/master/csl-citation.json"} </w:instrText>
      </w:r>
      <w:r w:rsidR="00C33B0C" w:rsidRPr="00B66607">
        <w:rPr>
          <w:rFonts w:eastAsia="Times New Roman" w:cs="Times New Roman"/>
          <w:szCs w:val="24"/>
        </w:rPr>
        <w:fldChar w:fldCharType="separate"/>
      </w:r>
      <w:r w:rsidR="00C33B0C" w:rsidRPr="00B66607">
        <w:rPr>
          <w:rFonts w:cs="Times New Roman"/>
        </w:rPr>
        <w:t>Cree et al. (2017)</w:t>
      </w:r>
      <w:r w:rsidR="00C33B0C" w:rsidRPr="00B66607">
        <w:rPr>
          <w:rFonts w:eastAsia="Times New Roman" w:cs="Times New Roman"/>
          <w:szCs w:val="24"/>
        </w:rPr>
        <w:fldChar w:fldCharType="end"/>
      </w:r>
      <w:r w:rsidRPr="00B66607">
        <w:rPr>
          <w:rFonts w:eastAsia="Times New Roman" w:cs="Times New Roman"/>
          <w:szCs w:val="24"/>
        </w:rPr>
        <w:t xml:space="preserve"> demonstrate that transition is never a one-time event but a constantly changing process </w:t>
      </w:r>
      <w:r w:rsidRPr="00B66607">
        <w:rPr>
          <w:rFonts w:eastAsia="Times New Roman" w:cs="Times New Roman"/>
          <w:szCs w:val="24"/>
        </w:rPr>
        <w:lastRenderedPageBreak/>
        <w:t>that requires continuous adjustment. This questions the belief that FYS interventions should not focus on transitioning in the first part of the academic year but rather should be sustained and adaptive. These findings support the need to investigate how students experience FYS over time, particularly in relation to their developing academic and social needs.</w:t>
      </w:r>
    </w:p>
    <w:p w14:paraId="7CA4110D" w14:textId="77777777" w:rsidR="009A4EE3" w:rsidRPr="00B66607" w:rsidRDefault="009A4EE3" w:rsidP="00C33B0C">
      <w:pPr>
        <w:spacing w:after="0" w:line="480" w:lineRule="auto"/>
        <w:ind w:firstLine="720"/>
        <w:rPr>
          <w:rFonts w:eastAsia="Times New Roman" w:cs="Times New Roman"/>
          <w:szCs w:val="24"/>
        </w:rPr>
      </w:pPr>
      <w:r w:rsidRPr="00B66607">
        <w:rPr>
          <w:rFonts w:eastAsia="Times New Roman" w:cs="Times New Roman"/>
          <w:szCs w:val="24"/>
        </w:rPr>
        <w:t xml:space="preserve">Besides the curriculum design, practices of instructors and institutional support are also of paramount importance in the determination of FYS effectiveness. According to </w:t>
      </w:r>
      <w:r w:rsidR="00C33B0C" w:rsidRPr="00B66607">
        <w:rPr>
          <w:rFonts w:eastAsia="Times New Roman" w:cs="Times New Roman"/>
          <w:szCs w:val="24"/>
        </w:rPr>
        <w:fldChar w:fldCharType="begin"/>
      </w:r>
      <w:r w:rsidR="00C33B0C" w:rsidRPr="00B66607">
        <w:rPr>
          <w:rFonts w:eastAsia="Times New Roman" w:cs="Times New Roman"/>
          <w:szCs w:val="24"/>
        </w:rPr>
        <w:instrText xml:space="preserve"> ADDIN ZOTERO_ITEM CSL_CITATION {"citationID":"FucahZkS","properties":{"unsorted":false,"formattedCitation":"(Fedeli et al., 2025)","plainCitation":"(Fedeli et al., 2025)","noteIndex":0},"citationItems":[{"id":4038,"uris":["http://zotero.org/users/local/msOJBOCf/items/2ISANA2T"],"itemData":{"id":4038,"type":"article-journal","abstract":"ABSTRACT\n            This article describes the Teaching4Learning Program for new faculty at the University of Padova, Italy. The program places a strong emphasis on learner‐centered teaching, transformative learning, self‐directed learning and community of practice, promoting active learning while cultivating critical and creative thinking skills. This innovative pedagogical approach has become a foundational principle for new faculty development and organizational change at University of Padova. This case study highlights several challenges and how to link these issues to teaching and learning theories, organizational development and political academic strategies.","container-title":"New Directions for Adult and Continuing Education","DOI":"10.1002/ace.70006","ISSN":"1052-2891, 1536-0717","issue":"187","journalAbbreviation":"New Dir Adult Contin Educ","language":"en","page":"23-31","source":"Semantic Scholar","title":"New Faculty Development. Challenges and Opportunities for Implementing Teaching: The Case of University of Padova (Italy)","title-short":"New Faculty Development. Challenges and Opportunities for Implementing Teaching","volume":"2025","author":[{"family":"Fedeli","given":"Monica"},{"family":"Liotino","given":"Marica"},{"family":"Taylor","given":"Edward W."}],"issued":{"date-parts":[["2025",9]]}}}],"schema":"https://github.com/citation-style-language/schema/raw/master/csl-citation.json"} </w:instrText>
      </w:r>
      <w:r w:rsidR="00C33B0C" w:rsidRPr="00B66607">
        <w:rPr>
          <w:rFonts w:eastAsia="Times New Roman" w:cs="Times New Roman"/>
          <w:szCs w:val="24"/>
        </w:rPr>
        <w:fldChar w:fldCharType="separate"/>
      </w:r>
      <w:r w:rsidR="00C33B0C" w:rsidRPr="00B66607">
        <w:rPr>
          <w:rFonts w:cs="Times New Roman"/>
        </w:rPr>
        <w:t>Fedeli et al. (2025)</w:t>
      </w:r>
      <w:r w:rsidR="00C33B0C" w:rsidRPr="00B66607">
        <w:rPr>
          <w:rFonts w:eastAsia="Times New Roman" w:cs="Times New Roman"/>
          <w:szCs w:val="24"/>
        </w:rPr>
        <w:fldChar w:fldCharType="end"/>
      </w:r>
      <w:r w:rsidRPr="00B66607">
        <w:rPr>
          <w:rFonts w:eastAsia="Times New Roman" w:cs="Times New Roman"/>
          <w:szCs w:val="24"/>
        </w:rPr>
        <w:t>, faculty development is crucial as it allows instructors to employ active learning and inclusive teaching to achieve their teaching goals. This implies that successful FYS programs involve more than what is being taught, but also how it is being taught. Nevertheless, there is little existing research that researches faculty experiences of teaching such seminars or developing practical experience-based strategies over time.</w:t>
      </w:r>
    </w:p>
    <w:p w14:paraId="3D2F1FA0" w14:textId="77777777" w:rsidR="009A4EE3" w:rsidRPr="00B66607" w:rsidRDefault="009A4EE3" w:rsidP="00C33B0C">
      <w:pPr>
        <w:spacing w:after="0" w:line="480" w:lineRule="auto"/>
        <w:ind w:firstLine="720"/>
        <w:rPr>
          <w:rFonts w:eastAsia="Times New Roman" w:cs="Times New Roman"/>
          <w:szCs w:val="24"/>
        </w:rPr>
      </w:pPr>
      <w:r w:rsidRPr="00B66607">
        <w:rPr>
          <w:rFonts w:eastAsia="Times New Roman" w:cs="Times New Roman"/>
          <w:szCs w:val="24"/>
        </w:rPr>
        <w:t>The relational aspect of FYS is also found to be a determ</w:t>
      </w:r>
      <w:r w:rsidR="00C33B0C" w:rsidRPr="00B66607">
        <w:rPr>
          <w:rFonts w:eastAsia="Times New Roman" w:cs="Times New Roman"/>
          <w:szCs w:val="24"/>
        </w:rPr>
        <w:t xml:space="preserve">inant of student success. </w:t>
      </w:r>
      <w:r w:rsidR="00C33B0C" w:rsidRPr="00B66607">
        <w:rPr>
          <w:rFonts w:eastAsia="Times New Roman" w:cs="Times New Roman"/>
          <w:szCs w:val="24"/>
        </w:rPr>
        <w:fldChar w:fldCharType="begin"/>
      </w:r>
      <w:r w:rsidR="00C33B0C" w:rsidRPr="00B66607">
        <w:rPr>
          <w:rFonts w:eastAsia="Times New Roman" w:cs="Times New Roman"/>
          <w:szCs w:val="24"/>
        </w:rPr>
        <w:instrText xml:space="preserve"> ADDIN ZOTERO_ITEM CSL_CITATION {"citationID":"QToeB33V","properties":{"unsorted":false,"formattedCitation":"(Wilton et al., 2021)","plainCitation":"(Wilton et al., 2021)","noteIndex":0},"citationItems":[{"id":4040,"uris":["http://zotero.org/users/local/msOJBOCf/items/H2IPXQ7Z"],"itemData":{"id":4040,"type":"article-journal","abstract":"We examine the impact of Biology Mentoring and Engagement (BIOME) near-peer mentorship on 437 first-year undergraduate students over three cohort years. The BIOME course consists of ten, 50-minute meetings where groups of six first-year mentees meet with an upper-division student mentor to discuss topics including metacognition, growth mindset, and effective study strategies. We employed a mixed-methods approach to evaluate the impact of BIOME on mentee academic outcomes. Initial ethnographic analysis revealed that BIOME influenced student study methods, approaches to academic challenges, and use of campus learning communities. We then constructed a novel, program-specific instrument to measure the implementation of these habits, a construct we named \"academic habit complexity.\" Regression analysis supported the hypothesis that enrollment in BIOME leads to students using more diverse approaches than their peers. Enrollment in BIOME, and the associated development of academic habit complexity, is related to higher course grades in General Chemistry, a biology major prerequisite. Finally, students participating in BIOME demonstrated improved short-term student retention as measured by increased enrollment in the subsequent prerequisite General Chemistry course. These results suggest that course-based near-peer mentorship may be an effective and scalable approach that can promote student academic success.","container-title":"CBE life sciences education","DOI":"10.1187/cbe.21-02-0039","ISSN":"1931-7913","issue":"4","journalAbbreviation":"CBE Life Sci Educ","language":"eng","page":"ar63","PMID":"34618540","PMCID":"PMC8715785","source":"PubMed","title":"Improving Academic Performance and Retention of First-Year Biology Students through a Scalable Peer Mentorship Program","volume":"20","author":[{"family":"Wilton","given":"Mike"},{"family":"Katz","given":"Daniel"},{"family":"Clairmont","given":"Anthony"},{"family":"Gonzalez-Nino","given":"Eduardo"},{"family":"Foltz","given":"Kathy R."},{"family":"Christoffersen","given":"Rolf E."}],"issued":{"date-parts":[["2021",12]]}}}],"schema":"https://github.com/citation-style-language/schema/raw/master/csl-citation.json"} </w:instrText>
      </w:r>
      <w:r w:rsidR="00C33B0C" w:rsidRPr="00B66607">
        <w:rPr>
          <w:rFonts w:eastAsia="Times New Roman" w:cs="Times New Roman"/>
          <w:szCs w:val="24"/>
        </w:rPr>
        <w:fldChar w:fldCharType="separate"/>
      </w:r>
      <w:r w:rsidR="00C33B0C" w:rsidRPr="00B66607">
        <w:rPr>
          <w:rFonts w:cs="Times New Roman"/>
        </w:rPr>
        <w:t>Wilton et al., (2021)</w:t>
      </w:r>
      <w:r w:rsidR="00C33B0C" w:rsidRPr="00B66607">
        <w:rPr>
          <w:rFonts w:eastAsia="Times New Roman" w:cs="Times New Roman"/>
          <w:szCs w:val="24"/>
        </w:rPr>
        <w:fldChar w:fldCharType="end"/>
      </w:r>
      <w:r w:rsidRPr="00B66607">
        <w:rPr>
          <w:rFonts w:eastAsia="Times New Roman" w:cs="Times New Roman"/>
          <w:szCs w:val="24"/>
        </w:rPr>
        <w:t xml:space="preserve"> indicate that structured peer interaction refines the sense of belonging and academic confidence in students, whereas</w:t>
      </w:r>
      <w:r w:rsidR="005F6A8A" w:rsidRPr="00B66607">
        <w:rPr>
          <w:rFonts w:eastAsia="Times New Roman" w:cs="Times New Roman"/>
          <w:szCs w:val="24"/>
        </w:rPr>
        <w:t xml:space="preserve"> </w:t>
      </w:r>
      <w:r w:rsidR="005F6A8A" w:rsidRPr="00B66607">
        <w:rPr>
          <w:rFonts w:eastAsia="Times New Roman" w:cs="Times New Roman"/>
          <w:szCs w:val="24"/>
        </w:rPr>
        <w:fldChar w:fldCharType="begin"/>
      </w:r>
      <w:r w:rsidR="005F6A8A" w:rsidRPr="00B66607">
        <w:rPr>
          <w:rFonts w:eastAsia="Times New Roman" w:cs="Times New Roman"/>
          <w:szCs w:val="24"/>
        </w:rPr>
        <w:instrText xml:space="preserve"> ADDIN ZOTERO_ITEM CSL_CITATION {"citationID":"ZDumnlrV","properties":{"unsorted":false,"formattedCitation":"(McBride et al., 2021)","plainCitation":"(McBride et al., 2021)","noteIndex":0},"citationItems":[{"id":4047,"uris":["http://zotero.org/users/local/msOJBOCf/items/N38IU39V"],"itemData":{"id":4047,"type":"article-journal","abstract":"Research in higher education confirms the importance of self-efficacy in student persistence and success in college. The current study examined the role of self-efficacy in supporting academic and psychosocial adjustment in the critical first college year and the context of an academically-oriented first-year seminar (FYS). Students completed surveys at the beginning and end of the semester comprising Academic Self-Efficacy (ASE) and Psychological Well-Being (PWB) scales, and also provided background and demographic information. ASE increased over the semester, driven by improved confidence in research writing and class participation. Study/time-management self-efficacy remained mostly unchanged. ASE was found to predict academic achievement and PWB, confirming our expectation that students' confidence in their academic ability would support positive academic and psychosocial outcomes. Results are discussed in terms of the value of efficacy-based pedagogical interventions as an intentional component of FYS delivery and design, and as a means of supporting student retention and success.","container-title":"Journal of The First-Year Experience &amp; Students in Transition","DOI":"10.65005/154230721840428478","journalAbbreviation":"Journal of The First-Year Experience &amp; Students in Transition","page":"99-119","source":"ResearchGate","title":"Academic Self-Efficacy, Student Performance, and Well-Being in a First-Year Seminar","volume":"33","author":[{"family":"McBride","given":"Eileen"},{"family":"Vashlishan Murray","given":"Amy"},{"family":"Duggan","given":"Michael"}],"issued":{"date-parts":[["2021",7,1]]}}}],"schema":"https://github.com/citation-style-language/schema/raw/master/csl-citation.json"} </w:instrText>
      </w:r>
      <w:r w:rsidR="005F6A8A" w:rsidRPr="00B66607">
        <w:rPr>
          <w:rFonts w:eastAsia="Times New Roman" w:cs="Times New Roman"/>
          <w:szCs w:val="24"/>
        </w:rPr>
        <w:fldChar w:fldCharType="separate"/>
      </w:r>
      <w:r w:rsidR="005F6A8A" w:rsidRPr="00B66607">
        <w:rPr>
          <w:rFonts w:cs="Times New Roman"/>
        </w:rPr>
        <w:t>McBride et al. (2021)</w:t>
      </w:r>
      <w:r w:rsidR="005F6A8A" w:rsidRPr="00B66607">
        <w:rPr>
          <w:rFonts w:eastAsia="Times New Roman" w:cs="Times New Roman"/>
          <w:szCs w:val="24"/>
        </w:rPr>
        <w:fldChar w:fldCharType="end"/>
      </w:r>
      <w:r w:rsidRPr="00B66607">
        <w:rPr>
          <w:rFonts w:eastAsia="Times New Roman" w:cs="Times New Roman"/>
          <w:szCs w:val="24"/>
        </w:rPr>
        <w:t xml:space="preserve"> reveal that FYS benefits self-efficacy and well-being, but mediated by faculty support and peer connection. These results suggest that the benefits of FYS are not just limited to the improvement of academic skills, but also the social integration and emotional adaptation, which are the primary elements of a successful transition.</w:t>
      </w:r>
    </w:p>
    <w:p w14:paraId="53DD195C" w14:textId="77777777" w:rsidR="009A4EE3" w:rsidRPr="00B66607" w:rsidRDefault="009A4EE3" w:rsidP="00C33B0C">
      <w:pPr>
        <w:spacing w:after="0" w:line="480" w:lineRule="auto"/>
        <w:ind w:firstLine="720"/>
        <w:rPr>
          <w:rFonts w:eastAsia="Times New Roman" w:cs="Times New Roman"/>
          <w:szCs w:val="24"/>
        </w:rPr>
      </w:pPr>
      <w:r w:rsidRPr="00B66607">
        <w:rPr>
          <w:rFonts w:eastAsia="Times New Roman" w:cs="Times New Roman"/>
          <w:szCs w:val="24"/>
        </w:rPr>
        <w:t xml:space="preserve">Irrespective of this contribution, there are still serious gaps in the literature. Most prominently, studies have been mostly concentrated on the consequences of FYS as opposed to practices, and little emphasis has been given to how students and teachers actually experience FYS in practice. The shared views of faculty and staff on what is an effective teaching strategy have been under-researched, and student voices to date are frequently interpreted only in terms of satisfaction but not in the detail of transition. Additionally, little has been investigated about </w:t>
      </w:r>
      <w:r w:rsidRPr="00B66607">
        <w:rPr>
          <w:rFonts w:eastAsia="Times New Roman" w:cs="Times New Roman"/>
          <w:szCs w:val="24"/>
        </w:rPr>
        <w:lastRenderedPageBreak/>
        <w:t>how these views overlap or differ, or whether the lived experiences of students are communicated in the assumptions of dominant theories on transitions. To address these gaps, an interpretive qualitative approach is needed to focus on the experiences of participants and explore the interaction between pedagogy, perception, and transition complexly.</w:t>
      </w:r>
    </w:p>
    <w:p w14:paraId="6422CF43" w14:textId="77777777" w:rsidR="00CD1F1B" w:rsidRPr="00B66607" w:rsidRDefault="00CD1F1B" w:rsidP="009A4EE3">
      <w:pPr>
        <w:spacing w:after="0" w:line="480" w:lineRule="auto"/>
        <w:outlineLvl w:val="2"/>
        <w:rPr>
          <w:rFonts w:eastAsia="Times New Roman" w:cs="Times New Roman"/>
          <w:b/>
          <w:bCs/>
          <w:szCs w:val="24"/>
        </w:rPr>
      </w:pPr>
      <w:r w:rsidRPr="00B66607">
        <w:rPr>
          <w:rFonts w:eastAsia="Times New Roman" w:cs="Times New Roman"/>
          <w:b/>
          <w:bCs/>
          <w:szCs w:val="24"/>
        </w:rPr>
        <w:t>Methodology</w:t>
      </w:r>
    </w:p>
    <w:p w14:paraId="4F94F0BF" w14:textId="77777777" w:rsidR="00B66607" w:rsidRPr="00B66607" w:rsidRDefault="00B66607" w:rsidP="00B66607">
      <w:pPr>
        <w:spacing w:after="0" w:line="480" w:lineRule="auto"/>
        <w:ind w:firstLine="720"/>
        <w:rPr>
          <w:rFonts w:eastAsia="Times New Roman" w:cs="Times New Roman"/>
          <w:szCs w:val="24"/>
        </w:rPr>
      </w:pPr>
      <w:r w:rsidRPr="00B66607">
        <w:rPr>
          <w:rFonts w:eastAsia="Times New Roman" w:cs="Times New Roman"/>
          <w:szCs w:val="24"/>
        </w:rPr>
        <w:t>An interpretive qualitative research paradigm will be employed in this study to reveal the contextual themes associated with the best practices of first-year seminars as reported by faculty, staff, and students. Lim (2024) explains that dynamic and complex social events are topics that can be studied by using interpretive qualitative research because it emphasizes precision and context over statistical representativeness. The technique would be effective in researching first-year seminars since pedagogical practice can be best characterized as an intricate relationship between teacher intention, learner reaction, institutional history, and theory. The interpretive paradigm acknowledges the existence of various perspectives, which are valid, and that knowledge about effective practice is developed by careful analysis of how one believes and interprets participant experience.</w:t>
      </w:r>
    </w:p>
    <w:p w14:paraId="7C1EF9F0" w14:textId="77777777" w:rsidR="00B66607" w:rsidRPr="00B66607" w:rsidRDefault="00B66607" w:rsidP="00B66607">
      <w:pPr>
        <w:spacing w:after="0" w:line="480" w:lineRule="auto"/>
        <w:ind w:firstLine="720"/>
        <w:rPr>
          <w:rFonts w:eastAsia="Times New Roman" w:cs="Times New Roman"/>
          <w:szCs w:val="24"/>
        </w:rPr>
      </w:pPr>
      <w:r w:rsidRPr="00B66607">
        <w:rPr>
          <w:rFonts w:eastAsia="Times New Roman" w:cs="Times New Roman"/>
          <w:szCs w:val="24"/>
        </w:rPr>
        <w:t>The research location chosen will be a mid-sized public university with several first-year seminars on various subjects and fields of study. This approach will ensure variability in seminar structure and student demographics, as this is important to reflect different perspectives and shared institutional contexts and practices. The academic achievement and freshmen experiences will create a fertile environment for insights from best practices associated with seminar design.</w:t>
      </w:r>
    </w:p>
    <w:p w14:paraId="628C5B28" w14:textId="215CB1D5" w:rsidR="001F704B" w:rsidRPr="00B66607" w:rsidRDefault="001F704B" w:rsidP="00B66607">
      <w:pPr>
        <w:spacing w:after="0" w:line="480" w:lineRule="auto"/>
        <w:ind w:firstLine="720"/>
        <w:rPr>
          <w:rFonts w:eastAsia="Times New Roman" w:cs="Times New Roman"/>
          <w:szCs w:val="24"/>
        </w:rPr>
      </w:pPr>
      <w:r w:rsidRPr="00B66607">
        <w:rPr>
          <w:rFonts w:eastAsia="Times New Roman" w:cs="Times New Roman"/>
          <w:szCs w:val="24"/>
        </w:rPr>
        <w:t xml:space="preserve">Purposeful sampling will be used for participant selection to represent a range of interests. The faculty and staff sample will comprise eight to ten people who have taught first-year seminars in at least two semesters and who represent a range of disciplines, seminar topics, </w:t>
      </w:r>
      <w:r w:rsidRPr="00B66607">
        <w:rPr>
          <w:rFonts w:eastAsia="Times New Roman" w:cs="Times New Roman"/>
          <w:szCs w:val="24"/>
        </w:rPr>
        <w:lastRenderedPageBreak/>
        <w:t>and areas of teaching experience. This requirement will ensure sufficient expertise in effective seminar course design so that they can share knowledge of what is effective and include the expertise of novices and experts alike. Twelve to fifteen students who have taken first-year seminars in the previous two semesters will constitute the student sample, chosen to diversify representation across seminar type, major, demographics, experiences of transition, and more. Maher et al. (2025) argue that determining sample size in interpretive, qualitative research should be based on the need for rich understanding and context, rather than statistical generalization, making these ranges suitable for this study.</w:t>
      </w:r>
    </w:p>
    <w:p w14:paraId="3D91F8AE" w14:textId="77777777" w:rsidR="001F704B" w:rsidRPr="00B66607" w:rsidRDefault="001F704B" w:rsidP="009A4EE3">
      <w:pPr>
        <w:spacing w:after="0" w:line="480" w:lineRule="auto"/>
        <w:ind w:firstLine="720"/>
        <w:rPr>
          <w:rFonts w:eastAsia="Times New Roman" w:cs="Times New Roman"/>
          <w:szCs w:val="24"/>
        </w:rPr>
      </w:pPr>
      <w:r w:rsidRPr="00B66607">
        <w:rPr>
          <w:rFonts w:eastAsia="Times New Roman" w:cs="Times New Roman"/>
          <w:szCs w:val="24"/>
        </w:rPr>
        <w:t>Qualitative data collection will be triangulated, and multiple methods will be used to build understanding. The primary data collection method will be semi-structured one-on-one interviews for the faculty and students. Interview guides will be constructed from the research questions, as well as the current literature on first-year seminars and college transition. Faculty interviews will cover their pedagogical strategies, beliefs about the effectiveness of certain approaches, perceptions of student transition challenges and opportunities, and barriers to supporting diverse students. Student interviews will explore their transition to college, what factors of their first-year seminar were the most beneficial, how their experience of the seminar contributed to their academic and social integration, and their suggestions for extending first-year seminars.</w:t>
      </w:r>
    </w:p>
    <w:p w14:paraId="23FDFB50" w14:textId="77777777" w:rsidR="001F704B" w:rsidRPr="00B66607" w:rsidRDefault="001F704B" w:rsidP="009A4EE3">
      <w:pPr>
        <w:spacing w:after="0" w:line="480" w:lineRule="auto"/>
        <w:ind w:firstLine="720"/>
        <w:rPr>
          <w:rFonts w:eastAsia="Times New Roman" w:cs="Times New Roman"/>
          <w:szCs w:val="24"/>
        </w:rPr>
      </w:pPr>
      <w:r w:rsidRPr="00B66607">
        <w:rPr>
          <w:rFonts w:eastAsia="Times New Roman" w:cs="Times New Roman"/>
          <w:szCs w:val="24"/>
        </w:rPr>
        <w:t xml:space="preserve">A semi-structured interview is chosen as the main data collection method because it is flexible enough to record the detailed views of the participants, but also consistent across interviews. Lim (2024) argues that this style strikes a balance between formal questioning and the possibility of exploring the emerging themes and personal nuances. The interviews are going to last around sixty to ninety minutes and will be audio-recorded with the consent of the parties </w:t>
      </w:r>
      <w:r w:rsidRPr="00B66607">
        <w:rPr>
          <w:rFonts w:eastAsia="Times New Roman" w:cs="Times New Roman"/>
          <w:szCs w:val="24"/>
        </w:rPr>
        <w:lastRenderedPageBreak/>
        <w:t>in order to further transcribe and analyze them. Member checking will be used upon preliminary analysis to confirm readings and reduce the distortion of the views of the participants.</w:t>
      </w:r>
    </w:p>
    <w:p w14:paraId="619EE635" w14:textId="77777777" w:rsidR="001F704B" w:rsidRPr="00B66607" w:rsidRDefault="001F704B" w:rsidP="009A4EE3">
      <w:pPr>
        <w:spacing w:after="0" w:line="480" w:lineRule="auto"/>
        <w:ind w:firstLine="720"/>
        <w:rPr>
          <w:rFonts w:eastAsia="Times New Roman" w:cs="Times New Roman"/>
          <w:szCs w:val="24"/>
        </w:rPr>
      </w:pPr>
      <w:r w:rsidRPr="00B66607">
        <w:rPr>
          <w:rFonts w:eastAsia="Times New Roman" w:cs="Times New Roman"/>
          <w:szCs w:val="24"/>
        </w:rPr>
        <w:t>Focus groups will be used as a secondary mode of data collection, with faculty and students interviewed separately. These groups will provide an opportunity for participants to share and discuss their experiences, which may elicit additional information or understanding to supplement interview data, including areas of shared and conflicting perceptions. The dynamic environment of the focus groups may promote interaction to build on others' experiences and perceptions. Two faculty focus group sessions with four to five participants and two student focus groups with six to eight participants will be held.</w:t>
      </w:r>
    </w:p>
    <w:p w14:paraId="27F2574C" w14:textId="77777777" w:rsidR="001F704B" w:rsidRPr="00B66607" w:rsidRDefault="001F704B" w:rsidP="009A4EE3">
      <w:pPr>
        <w:spacing w:after="0" w:line="480" w:lineRule="auto"/>
        <w:ind w:firstLine="720"/>
        <w:rPr>
          <w:rFonts w:eastAsia="Times New Roman" w:cs="Times New Roman"/>
          <w:szCs w:val="24"/>
        </w:rPr>
      </w:pPr>
      <w:r w:rsidRPr="00B66607">
        <w:rPr>
          <w:rFonts w:eastAsia="Times New Roman" w:cs="Times New Roman"/>
          <w:szCs w:val="24"/>
        </w:rPr>
        <w:t>Analysis of documents will offer background information about how first-year seminars are formally implemented and what learning goals institutions set for them. Examples of documents include course syllabi, university policies on first-year seminars, program assessment reports, and curriculum resources faculty members use. This analysis will supplement data from interviews and focus groups by revealing formal endorsement of practices and alignment of participants' experiences with institutional aims of first-year seminars.</w:t>
      </w:r>
    </w:p>
    <w:p w14:paraId="170BC27F" w14:textId="77777777" w:rsidR="001F704B" w:rsidRPr="00B66607" w:rsidRDefault="001F704B" w:rsidP="009A4EE3">
      <w:pPr>
        <w:spacing w:after="0" w:line="480" w:lineRule="auto"/>
        <w:ind w:firstLine="720"/>
        <w:rPr>
          <w:rFonts w:eastAsia="Times New Roman" w:cs="Times New Roman"/>
          <w:szCs w:val="24"/>
        </w:rPr>
      </w:pPr>
      <w:r w:rsidRPr="00B66607">
        <w:rPr>
          <w:rFonts w:eastAsia="Times New Roman" w:cs="Times New Roman"/>
          <w:szCs w:val="24"/>
        </w:rPr>
        <w:t xml:space="preserve">Data will be subject to reflexive thematic analysis as outlined by Braun </w:t>
      </w:r>
      <w:r w:rsidR="005F6A8A" w:rsidRPr="00B66607">
        <w:rPr>
          <w:rFonts w:eastAsia="Times New Roman" w:cs="Times New Roman"/>
          <w:szCs w:val="24"/>
        </w:rPr>
        <w:t xml:space="preserve">and Clarke and </w:t>
      </w:r>
      <w:proofErr w:type="spellStart"/>
      <w:r w:rsidR="005F6A8A" w:rsidRPr="00B66607">
        <w:rPr>
          <w:rFonts w:eastAsia="Times New Roman" w:cs="Times New Roman"/>
          <w:szCs w:val="24"/>
        </w:rPr>
        <w:t>summarised</w:t>
      </w:r>
      <w:proofErr w:type="spellEnd"/>
      <w:r w:rsidR="005F6A8A" w:rsidRPr="00B66607">
        <w:rPr>
          <w:rFonts w:eastAsia="Times New Roman" w:cs="Times New Roman"/>
          <w:szCs w:val="24"/>
        </w:rPr>
        <w:t xml:space="preserve"> by </w:t>
      </w:r>
      <w:r w:rsidR="005F6A8A" w:rsidRPr="00B66607">
        <w:rPr>
          <w:rFonts w:eastAsia="Times New Roman" w:cs="Times New Roman"/>
          <w:szCs w:val="24"/>
        </w:rPr>
        <w:fldChar w:fldCharType="begin"/>
      </w:r>
      <w:r w:rsidR="005F6A8A" w:rsidRPr="00B66607">
        <w:rPr>
          <w:rFonts w:eastAsia="Times New Roman" w:cs="Times New Roman"/>
          <w:szCs w:val="24"/>
        </w:rPr>
        <w:instrText xml:space="preserve"> ADDIN ZOTERO_ITEM CSL_CITATION {"citationID":"HSfgjNPF","properties":{"unsorted":false,"formattedCitation":"(Lim, 2024)","plainCitation":"(Lim, 2024)","noteIndex":0},"citationItems":[{"id":3053,"uris":["http://zotero.org/users/local/msOJBOCf/items/LY4H8PCC"],"itemData":{"id":3053,"type":"article-journal","container-title":"FIRM Journal of Management Studies","DOI":"10.33021/firm.v9i1.5059","issue":"1","note":"ISBN: 2541-3473","page":"83-96","title":"Ethical leadership in the eyes of gen Z: a literature review","volume":"9","author":[{"family":"Lim","given":"Albert Theriono"}],"issued":{"date-parts":[["2024"]]}}}],"schema":"https://github.com/citation-style-language/schema/raw/master/csl-citation.json"} </w:instrText>
      </w:r>
      <w:r w:rsidR="005F6A8A" w:rsidRPr="00B66607">
        <w:rPr>
          <w:rFonts w:eastAsia="Times New Roman" w:cs="Times New Roman"/>
          <w:szCs w:val="24"/>
        </w:rPr>
        <w:fldChar w:fldCharType="separate"/>
      </w:r>
      <w:r w:rsidR="005F6A8A" w:rsidRPr="00B66607">
        <w:rPr>
          <w:rFonts w:cs="Times New Roman"/>
        </w:rPr>
        <w:t>Lim (2024)</w:t>
      </w:r>
      <w:r w:rsidR="005F6A8A" w:rsidRPr="00B66607">
        <w:rPr>
          <w:rFonts w:eastAsia="Times New Roman" w:cs="Times New Roman"/>
          <w:szCs w:val="24"/>
        </w:rPr>
        <w:fldChar w:fldCharType="end"/>
      </w:r>
      <w:r w:rsidRPr="00B66607">
        <w:rPr>
          <w:rFonts w:eastAsia="Times New Roman" w:cs="Times New Roman"/>
          <w:szCs w:val="24"/>
        </w:rPr>
        <w:t xml:space="preserve">, involving phase-by-phase steps of </w:t>
      </w:r>
      <w:proofErr w:type="spellStart"/>
      <w:r w:rsidRPr="00B66607">
        <w:rPr>
          <w:rFonts w:eastAsia="Times New Roman" w:cs="Times New Roman"/>
          <w:szCs w:val="24"/>
        </w:rPr>
        <w:t>familiarisation</w:t>
      </w:r>
      <w:proofErr w:type="spellEnd"/>
      <w:r w:rsidRPr="00B66607">
        <w:rPr>
          <w:rFonts w:eastAsia="Times New Roman" w:cs="Times New Roman"/>
          <w:szCs w:val="24"/>
        </w:rPr>
        <w:t>, initial coding, theme development, theme review, and analysis. The process will start with data immersion into the interview texts and focus group recordings to achieve data familiarity. An initial coding phase will highlight important patterns and meaning units throughout the data set, keeping a focus on both emergent themes and the concepts found in the research questions and theoretical perspectives. Based on analysis of codes, preliminary themes will be established representing patterns of meaning related to emerging practices, transition stories, and theoretical perspectives.</w:t>
      </w:r>
    </w:p>
    <w:p w14:paraId="39314B58" w14:textId="77777777" w:rsidR="001F704B" w:rsidRPr="00B66607" w:rsidRDefault="001F704B" w:rsidP="009A4EE3">
      <w:pPr>
        <w:spacing w:after="0" w:line="480" w:lineRule="auto"/>
        <w:ind w:firstLine="720"/>
        <w:rPr>
          <w:rFonts w:eastAsia="Times New Roman" w:cs="Times New Roman"/>
          <w:szCs w:val="24"/>
        </w:rPr>
      </w:pPr>
      <w:r w:rsidRPr="00B66607">
        <w:rPr>
          <w:rFonts w:eastAsia="Times New Roman" w:cs="Times New Roman"/>
          <w:szCs w:val="24"/>
        </w:rPr>
        <w:lastRenderedPageBreak/>
        <w:t>Theme review will ensure themes remain coherent with coded data, representing meaningful patterns across the entire data set. Lim (2024) stresses that at this point, it's necessary to check themes for potential counter-arguments or anomalies, to ensure thorough and credible analysis. Themes will be formulated and labelled to convey their meaning, then incorporated into an analytic narrative that answers the research questions and links to theory and prior research.</w:t>
      </w:r>
    </w:p>
    <w:p w14:paraId="33243434" w14:textId="77777777" w:rsidR="001F704B" w:rsidRPr="00B66607" w:rsidRDefault="001F704B" w:rsidP="009A4EE3">
      <w:pPr>
        <w:spacing w:after="0" w:line="480" w:lineRule="auto"/>
        <w:ind w:firstLine="720"/>
        <w:rPr>
          <w:rFonts w:eastAsia="Times New Roman" w:cs="Times New Roman"/>
          <w:szCs w:val="24"/>
        </w:rPr>
      </w:pPr>
      <w:r w:rsidRPr="00B66607">
        <w:rPr>
          <w:rFonts w:eastAsia="Times New Roman" w:cs="Times New Roman"/>
          <w:szCs w:val="24"/>
        </w:rPr>
        <w:t>During analysis, points of convergence and divergence among perspectives will be noted for faculty and students. Convergence points where both faculty and students report similar experiences or practices will be identified. Similarly, points where perspectives differ may suggest areas of bias or unacknowledged assumptions, or reflect areas where student needs depart from faculty expectations.</w:t>
      </w:r>
    </w:p>
    <w:p w14:paraId="0EF38270" w14:textId="77777777" w:rsidR="004D5138" w:rsidRPr="00B66607" w:rsidRDefault="004D5138" w:rsidP="009A4EE3">
      <w:pPr>
        <w:pStyle w:val="Heading3"/>
        <w:spacing w:before="0" w:beforeAutospacing="0" w:after="0" w:afterAutospacing="0" w:line="480" w:lineRule="auto"/>
        <w:rPr>
          <w:sz w:val="24"/>
          <w:szCs w:val="24"/>
        </w:rPr>
      </w:pPr>
      <w:r w:rsidRPr="00B66607">
        <w:rPr>
          <w:sz w:val="24"/>
          <w:szCs w:val="24"/>
        </w:rPr>
        <w:t>Trustworthiness and Ethical Considerations</w:t>
      </w:r>
    </w:p>
    <w:p w14:paraId="0FB671BE" w14:textId="77777777" w:rsidR="00EB42A8" w:rsidRDefault="004B4442" w:rsidP="00EB42A8">
      <w:pPr>
        <w:spacing w:after="0" w:line="480" w:lineRule="auto"/>
        <w:ind w:firstLine="720"/>
        <w:rPr>
          <w:rFonts w:eastAsia="Times New Roman" w:cs="Times New Roman"/>
          <w:szCs w:val="24"/>
        </w:rPr>
      </w:pPr>
      <w:r w:rsidRPr="00B66607">
        <w:rPr>
          <w:rFonts w:eastAsia="Times New Roman" w:cs="Times New Roman"/>
          <w:szCs w:val="24"/>
        </w:rPr>
        <w:t>Credibility, dependability, confirmability, and transferability are the elements that create a sense of trustworthiness in interpretive qualitative research.</w:t>
      </w:r>
      <w:r w:rsidR="005F6A8A" w:rsidRPr="00B66607">
        <w:rPr>
          <w:rFonts w:eastAsia="Times New Roman" w:cs="Times New Roman"/>
          <w:szCs w:val="24"/>
        </w:rPr>
        <w:fldChar w:fldCharType="begin"/>
      </w:r>
      <w:r w:rsidR="005F6A8A" w:rsidRPr="00B66607">
        <w:rPr>
          <w:rFonts w:eastAsia="Times New Roman" w:cs="Times New Roman"/>
          <w:szCs w:val="24"/>
        </w:rPr>
        <w:instrText xml:space="preserve"> ADDIN ZOTERO_ITEM CSL_CITATION {"citationID":"QeDBfTan","properties":{"unsorted":false,"formattedCitation":"(Maher, 2025)","plainCitation":"(Maher, 2025)","noteIndex":0},"citationItems":[{"id":4016,"uris":["http://zotero.org/users/local/msOJBOCf/items/K9YQYI4M"],"itemData":{"id":4016,"type":"article-journal","abstract":"There has been a proliferation of qualitative approaches to researching education. While this has resulted in the construction of a rich tapestry of knowledge about education, it has also resulted in disparate research ideas, processes and practices, and created tensions relating to what constitutes rigorous qualitative research in education. As such, the aim of this paper was to use a multidisciplinary perspective and draw on concepts and practices relating to research coherence, reflexivity, transparency, authenticity, sincerity, credibility and ethics to (1) problematise traditional approaches to rigour in qualitative education research and (2) support those who do interpretive qualitative education research to select and embed relevant concepts and practices to increase and evidence the rigour of their work. I end this paper with an attempt to galvanise interpretive qualitative researchers in education to reflexively consider and justify the ways and extent to which their research decisions, processes and practices are rigorous.","container-title":"British Educational Research Journal","DOI":"10.1002/berj.4156","ISSN":"1469-3518","issue":"5","language":"en","license":"© 2025 The Author(s). British Educational Research Journal published by John Wiley &amp; Sons Ltd on behalf of British Educational Research Association.","note":"_eprint: https://bera-journals.onlinelibrary.wiley.com/doi/pdf/10.1002/berj.4156","page":"2099-2115","source":"Wiley Online Library","title":"Rigour in interpretive qualitative research in education: Ideas to think with","title-short":"Rigour in interpretive qualitative research in education","volume":"51","author":[{"family":"Maher","given":"Anthony J."}],"issued":{"date-parts":[["2025"]]}}}],"schema":"https://github.com/citation-style-language/schema/raw/master/csl-citation.json"} </w:instrText>
      </w:r>
      <w:r w:rsidR="005F6A8A" w:rsidRPr="00B66607">
        <w:rPr>
          <w:rFonts w:eastAsia="Times New Roman" w:cs="Times New Roman"/>
          <w:szCs w:val="24"/>
        </w:rPr>
        <w:fldChar w:fldCharType="separate"/>
      </w:r>
      <w:r w:rsidR="005F6A8A" w:rsidRPr="00B66607">
        <w:rPr>
          <w:rFonts w:cs="Times New Roman"/>
        </w:rPr>
        <w:t xml:space="preserve"> Maher (2025)</w:t>
      </w:r>
      <w:r w:rsidR="005F6A8A" w:rsidRPr="00B66607">
        <w:rPr>
          <w:rFonts w:eastAsia="Times New Roman" w:cs="Times New Roman"/>
          <w:szCs w:val="24"/>
        </w:rPr>
        <w:fldChar w:fldCharType="end"/>
      </w:r>
      <w:r w:rsidRPr="00B66607">
        <w:rPr>
          <w:rFonts w:eastAsia="Times New Roman" w:cs="Times New Roman"/>
          <w:szCs w:val="24"/>
        </w:rPr>
        <w:t xml:space="preserve"> support this approach by highlighting that, instead of statistical validation, rigor in this approach is based on reflexivity, transparency, and authenticity. Credibility in this research will be strengthened by long engagement, data-source triangulation, member checking, and peer debriefing. Triangulation will be integrated to compare results of interviews, focus groups, and document analysis, whereas member checking will make sure that the interpretations result from carefully representing the views of the participants. Peer debriefing will also enhance the analytical rigor since it will ques</w:t>
      </w:r>
      <w:r w:rsidR="00EB42A8">
        <w:rPr>
          <w:rFonts w:eastAsia="Times New Roman" w:cs="Times New Roman"/>
          <w:szCs w:val="24"/>
        </w:rPr>
        <w:t>tion the researcher's bias.</w:t>
      </w:r>
    </w:p>
    <w:p w14:paraId="188AAED6" w14:textId="77777777" w:rsidR="00EB42A8" w:rsidRDefault="004B4442" w:rsidP="00EB42A8">
      <w:pPr>
        <w:spacing w:after="0" w:line="480" w:lineRule="auto"/>
        <w:ind w:firstLine="720"/>
        <w:rPr>
          <w:rFonts w:eastAsia="Times New Roman" w:cs="Times New Roman"/>
          <w:szCs w:val="24"/>
        </w:rPr>
      </w:pPr>
      <w:r w:rsidRPr="00B66607">
        <w:rPr>
          <w:rFonts w:eastAsia="Times New Roman" w:cs="Times New Roman"/>
          <w:szCs w:val="24"/>
        </w:rPr>
        <w:t xml:space="preserve">To ensure dependability and confirmability, there will be a plain audit trail of the entire research process, coding, and theme development. Reflexive journaling will also be employed to recognize and track the researcher's assumptions in conducting the study. Rich, contextualized </w:t>
      </w:r>
      <w:r w:rsidRPr="00B66607">
        <w:rPr>
          <w:rFonts w:eastAsia="Times New Roman" w:cs="Times New Roman"/>
          <w:szCs w:val="24"/>
        </w:rPr>
        <w:lastRenderedPageBreak/>
        <w:t>descriptions will facilitate transferability, as readers will evaluate how results can</w:t>
      </w:r>
      <w:r w:rsidR="00EB42A8">
        <w:rPr>
          <w:rFonts w:eastAsia="Times New Roman" w:cs="Times New Roman"/>
          <w:szCs w:val="24"/>
        </w:rPr>
        <w:t xml:space="preserve"> be relevant to other contexts.</w:t>
      </w:r>
    </w:p>
    <w:p w14:paraId="5607E4A2" w14:textId="77777777" w:rsidR="00EB42A8" w:rsidRDefault="004B4442" w:rsidP="00EB42A8">
      <w:pPr>
        <w:spacing w:after="0" w:line="480" w:lineRule="auto"/>
        <w:ind w:firstLine="720"/>
        <w:rPr>
          <w:rFonts w:eastAsia="Times New Roman" w:cs="Times New Roman"/>
          <w:szCs w:val="24"/>
        </w:rPr>
      </w:pPr>
      <w:r w:rsidRPr="00B66607">
        <w:rPr>
          <w:rFonts w:eastAsia="Times New Roman" w:cs="Times New Roman"/>
          <w:szCs w:val="24"/>
        </w:rPr>
        <w:t>Ethical considerations will gui</w:t>
      </w:r>
      <w:r w:rsidR="00EB42A8">
        <w:rPr>
          <w:rFonts w:eastAsia="Times New Roman" w:cs="Times New Roman"/>
          <w:szCs w:val="24"/>
        </w:rPr>
        <w:t>de all stages of the research:</w:t>
      </w:r>
    </w:p>
    <w:p w14:paraId="317400AE" w14:textId="77777777" w:rsidR="00EB42A8" w:rsidRDefault="004B4442" w:rsidP="00EB42A8">
      <w:pPr>
        <w:pStyle w:val="ListParagraph"/>
        <w:numPr>
          <w:ilvl w:val="0"/>
          <w:numId w:val="4"/>
        </w:numPr>
        <w:spacing w:after="0" w:line="480" w:lineRule="auto"/>
        <w:rPr>
          <w:rFonts w:eastAsia="Times New Roman" w:cs="Times New Roman"/>
          <w:szCs w:val="24"/>
        </w:rPr>
      </w:pPr>
      <w:r w:rsidRPr="00EB42A8">
        <w:rPr>
          <w:rFonts w:eastAsia="Times New Roman" w:cs="Times New Roman"/>
          <w:szCs w:val="24"/>
        </w:rPr>
        <w:t>Informed consent: Participants will receive full information about the study and their rights, including voluntary participation and</w:t>
      </w:r>
      <w:r w:rsidR="00EB42A8">
        <w:rPr>
          <w:rFonts w:eastAsia="Times New Roman" w:cs="Times New Roman"/>
          <w:szCs w:val="24"/>
        </w:rPr>
        <w:t xml:space="preserve"> withdrawal without penalty. </w:t>
      </w:r>
    </w:p>
    <w:p w14:paraId="0A272493" w14:textId="77777777" w:rsidR="00EB42A8" w:rsidRDefault="004B4442" w:rsidP="00EB42A8">
      <w:pPr>
        <w:pStyle w:val="ListParagraph"/>
        <w:numPr>
          <w:ilvl w:val="0"/>
          <w:numId w:val="4"/>
        </w:numPr>
        <w:spacing w:after="0" w:line="480" w:lineRule="auto"/>
        <w:rPr>
          <w:rFonts w:eastAsia="Times New Roman" w:cs="Times New Roman"/>
          <w:szCs w:val="24"/>
        </w:rPr>
      </w:pPr>
      <w:r w:rsidRPr="00EB42A8">
        <w:rPr>
          <w:rFonts w:eastAsia="Times New Roman" w:cs="Times New Roman"/>
          <w:szCs w:val="24"/>
        </w:rPr>
        <w:t xml:space="preserve">Confidentiality and anonymity: Pseudonyms will be used, and identifying details </w:t>
      </w:r>
      <w:r w:rsidR="00EB42A8">
        <w:rPr>
          <w:rFonts w:eastAsia="Times New Roman" w:cs="Times New Roman"/>
          <w:szCs w:val="24"/>
        </w:rPr>
        <w:t xml:space="preserve">will be removed from all data. </w:t>
      </w:r>
    </w:p>
    <w:p w14:paraId="2399B0FD" w14:textId="77777777" w:rsidR="00EB42A8" w:rsidRDefault="004B4442" w:rsidP="00EB42A8">
      <w:pPr>
        <w:pStyle w:val="ListParagraph"/>
        <w:numPr>
          <w:ilvl w:val="0"/>
          <w:numId w:val="4"/>
        </w:numPr>
        <w:spacing w:after="0" w:line="480" w:lineRule="auto"/>
        <w:rPr>
          <w:rFonts w:eastAsia="Times New Roman" w:cs="Times New Roman"/>
          <w:szCs w:val="24"/>
        </w:rPr>
      </w:pPr>
      <w:r w:rsidRPr="00EB42A8">
        <w:rPr>
          <w:rFonts w:eastAsia="Times New Roman" w:cs="Times New Roman"/>
          <w:szCs w:val="24"/>
        </w:rPr>
        <w:t xml:space="preserve">Data security: All data will be kept safely and only viewed by the research team, and then destroyed as required </w:t>
      </w:r>
      <w:r w:rsidR="00EB42A8">
        <w:rPr>
          <w:rFonts w:eastAsia="Times New Roman" w:cs="Times New Roman"/>
          <w:szCs w:val="24"/>
        </w:rPr>
        <w:t xml:space="preserve">by the institutional policy. </w:t>
      </w:r>
    </w:p>
    <w:p w14:paraId="0B0780DC" w14:textId="5A279208" w:rsidR="00EB42A8" w:rsidRPr="00EB42A8" w:rsidRDefault="004B4442" w:rsidP="00EB42A8">
      <w:pPr>
        <w:pStyle w:val="ListParagraph"/>
        <w:numPr>
          <w:ilvl w:val="0"/>
          <w:numId w:val="4"/>
        </w:numPr>
        <w:spacing w:after="0" w:line="480" w:lineRule="auto"/>
        <w:rPr>
          <w:rFonts w:eastAsia="Times New Roman" w:cs="Times New Roman"/>
          <w:szCs w:val="24"/>
        </w:rPr>
      </w:pPr>
      <w:r w:rsidRPr="00EB42A8">
        <w:rPr>
          <w:rFonts w:eastAsia="Times New Roman" w:cs="Times New Roman"/>
          <w:szCs w:val="24"/>
        </w:rPr>
        <w:t>Limiting power imbalance: Students will be guaranteed that their participation will not influence their academic status, and faculty will not be afraid to express the</w:t>
      </w:r>
      <w:r w:rsidR="00EB42A8" w:rsidRPr="00EB42A8">
        <w:rPr>
          <w:rFonts w:eastAsia="Times New Roman" w:cs="Times New Roman"/>
          <w:szCs w:val="24"/>
        </w:rPr>
        <w:t>ir experiences professionally.</w:t>
      </w:r>
    </w:p>
    <w:p w14:paraId="2EDFCA78" w14:textId="39E72494" w:rsidR="004B4442" w:rsidRPr="00B66607" w:rsidRDefault="004B4442" w:rsidP="00EB42A8">
      <w:pPr>
        <w:spacing w:after="0" w:line="480" w:lineRule="auto"/>
        <w:ind w:firstLine="720"/>
        <w:rPr>
          <w:rFonts w:eastAsia="Times New Roman" w:cs="Times New Roman"/>
          <w:szCs w:val="24"/>
        </w:rPr>
      </w:pPr>
      <w:r w:rsidRPr="00B66607">
        <w:rPr>
          <w:rFonts w:eastAsia="Times New Roman" w:cs="Times New Roman"/>
          <w:szCs w:val="24"/>
        </w:rPr>
        <w:t>There are, however, a few risks associated with the study besides time commitment, and the researcher will exercise caution to make participants feel free to provide their sincere views.</w:t>
      </w:r>
    </w:p>
    <w:p w14:paraId="5A6737E2" w14:textId="77777777" w:rsidR="004D5138" w:rsidRPr="00B66607" w:rsidRDefault="004D5138" w:rsidP="009A4EE3">
      <w:pPr>
        <w:pStyle w:val="Heading3"/>
        <w:spacing w:before="0" w:beforeAutospacing="0" w:after="0" w:afterAutospacing="0" w:line="480" w:lineRule="auto"/>
        <w:rPr>
          <w:sz w:val="24"/>
          <w:szCs w:val="24"/>
        </w:rPr>
      </w:pPr>
      <w:r w:rsidRPr="00B66607">
        <w:rPr>
          <w:sz w:val="24"/>
          <w:szCs w:val="24"/>
        </w:rPr>
        <w:t>Expected Outcomes and Significance</w:t>
      </w:r>
    </w:p>
    <w:p w14:paraId="44D7AE38" w14:textId="77777777" w:rsidR="004B4442" w:rsidRPr="00B66607" w:rsidRDefault="004B4442" w:rsidP="009A4EE3">
      <w:pPr>
        <w:spacing w:after="0" w:line="480" w:lineRule="auto"/>
        <w:ind w:firstLine="720"/>
        <w:rPr>
          <w:rFonts w:eastAsia="Times New Roman" w:cs="Times New Roman"/>
          <w:szCs w:val="24"/>
        </w:rPr>
      </w:pPr>
      <w:r w:rsidRPr="00B66607">
        <w:rPr>
          <w:rFonts w:eastAsia="Times New Roman" w:cs="Times New Roman"/>
          <w:szCs w:val="24"/>
        </w:rPr>
        <w:t>This study is expected to contribute both empirically and practically to the understanding of first-year seminars. It will determine pedagogical strategies that are perceived as successful by faculty and staff based on the lived practice of teaching, rather than on theory. It will also give us the angle of how students go through the transition and which areas of seminars students consider most helpful, so that student voice can drive the program development.</w:t>
      </w:r>
    </w:p>
    <w:p w14:paraId="2143815F" w14:textId="77777777" w:rsidR="004B4442" w:rsidRPr="00B66607" w:rsidRDefault="004B4442" w:rsidP="009A4EE3">
      <w:pPr>
        <w:spacing w:after="0" w:line="480" w:lineRule="auto"/>
        <w:ind w:firstLine="720"/>
        <w:rPr>
          <w:rFonts w:eastAsia="Times New Roman" w:cs="Times New Roman"/>
          <w:szCs w:val="24"/>
        </w:rPr>
      </w:pPr>
      <w:r w:rsidRPr="00B66607">
        <w:rPr>
          <w:rFonts w:eastAsia="Times New Roman" w:cs="Times New Roman"/>
          <w:szCs w:val="24"/>
        </w:rPr>
        <w:t xml:space="preserve">Through the analysis of points of convergence and divergence between faculty and student viewpoints, the study can help to highlight a gap between the teaching intentions and student experiences and provide a chance to improve. Moreover, an attempt to correlate findings </w:t>
      </w:r>
      <w:r w:rsidRPr="00B66607">
        <w:rPr>
          <w:rFonts w:eastAsia="Times New Roman" w:cs="Times New Roman"/>
          <w:szCs w:val="24"/>
        </w:rPr>
        <w:lastRenderedPageBreak/>
        <w:t>with the concept of transition theories will also serve to evaluate the degree to which models like Schlossberg and Tinto are still applicable or pertinent to the modern realities of transition.</w:t>
      </w:r>
    </w:p>
    <w:p w14:paraId="35C6E9FC" w14:textId="77777777" w:rsidR="004B4442" w:rsidRPr="00B66607" w:rsidRDefault="004B4442" w:rsidP="009A4EE3">
      <w:pPr>
        <w:spacing w:after="0" w:line="480" w:lineRule="auto"/>
        <w:ind w:firstLine="720"/>
        <w:rPr>
          <w:rFonts w:eastAsia="Times New Roman" w:cs="Times New Roman"/>
          <w:szCs w:val="24"/>
        </w:rPr>
      </w:pPr>
      <w:r w:rsidRPr="00B66607">
        <w:rPr>
          <w:rFonts w:eastAsia="Times New Roman" w:cs="Times New Roman"/>
          <w:szCs w:val="24"/>
        </w:rPr>
        <w:t>The research is relevant to various parties. It adds to the research, using interpretive qualitative approaches to a multifaceted educational context, and provides a practical suggestion to those teaching or examining curriculum design. These insights can guide institutions to design better first-year seminars, allocate resources, and support strategies.</w:t>
      </w:r>
    </w:p>
    <w:p w14:paraId="2B0B4589" w14:textId="77777777" w:rsidR="004B4442" w:rsidRPr="009A4EE3" w:rsidRDefault="004B4442" w:rsidP="009A4EE3">
      <w:pPr>
        <w:spacing w:after="0" w:line="480" w:lineRule="auto"/>
        <w:ind w:firstLine="720"/>
        <w:rPr>
          <w:rFonts w:eastAsia="Times New Roman" w:cs="Times New Roman"/>
          <w:szCs w:val="24"/>
        </w:rPr>
      </w:pPr>
      <w:r w:rsidRPr="00B66607">
        <w:rPr>
          <w:rFonts w:eastAsia="Times New Roman" w:cs="Times New Roman"/>
          <w:szCs w:val="24"/>
        </w:rPr>
        <w:t>At the larger scale, the study is a reaction to the growing demand on higher education institutions to improve the retention and success of their students. Since first-year seminars are a great investment, it is not only a matter of academic concern but also an element of practice to comprehend how they can be most effectively utilized. Continued focus on student transition and changing educational background further highlights the applicability of this research.</w:t>
      </w:r>
    </w:p>
    <w:p w14:paraId="6A775C34" w14:textId="77777777" w:rsidR="004D5138" w:rsidRPr="009A4EE3" w:rsidRDefault="004D5138" w:rsidP="009A4EE3">
      <w:pPr>
        <w:pStyle w:val="NormalWeb"/>
        <w:spacing w:before="0" w:beforeAutospacing="0" w:after="0" w:afterAutospacing="0" w:line="480" w:lineRule="auto"/>
        <w:ind w:firstLine="720"/>
      </w:pPr>
      <w:r w:rsidRPr="009A4EE3">
        <w:t>.</w:t>
      </w:r>
    </w:p>
    <w:p w14:paraId="00192304" w14:textId="77777777" w:rsidR="004B4442" w:rsidRPr="009A4EE3" w:rsidRDefault="004B4442" w:rsidP="009A4EE3">
      <w:pPr>
        <w:spacing w:after="0" w:line="480" w:lineRule="auto"/>
        <w:rPr>
          <w:rFonts w:eastAsia="Times New Roman" w:cs="Times New Roman"/>
          <w:szCs w:val="24"/>
        </w:rPr>
      </w:pPr>
      <w:r w:rsidRPr="009A4EE3">
        <w:rPr>
          <w:rFonts w:cs="Times New Roman"/>
          <w:szCs w:val="24"/>
        </w:rPr>
        <w:br w:type="page"/>
      </w:r>
    </w:p>
    <w:bookmarkEnd w:id="0"/>
    <w:p w14:paraId="5F61080C" w14:textId="77777777" w:rsidR="004B4442" w:rsidRDefault="004B4442" w:rsidP="009A4EE3">
      <w:pPr>
        <w:pStyle w:val="NormalWeb"/>
        <w:spacing w:before="0" w:beforeAutospacing="0" w:after="0" w:afterAutospacing="0" w:line="480" w:lineRule="auto"/>
        <w:jc w:val="center"/>
        <w:rPr>
          <w:b/>
        </w:rPr>
      </w:pPr>
      <w:r w:rsidRPr="009A4EE3">
        <w:rPr>
          <w:b/>
        </w:rPr>
        <w:lastRenderedPageBreak/>
        <w:t>References</w:t>
      </w:r>
    </w:p>
    <w:p w14:paraId="287EAC06" w14:textId="77777777" w:rsidR="005F6A8A" w:rsidRPr="005F6A8A" w:rsidRDefault="00C33B0C" w:rsidP="005F6A8A">
      <w:pPr>
        <w:pStyle w:val="Bibliography"/>
      </w:pPr>
      <w:r>
        <w:rPr>
          <w:b/>
        </w:rPr>
        <w:fldChar w:fldCharType="begin"/>
      </w:r>
      <w:r>
        <w:rPr>
          <w:b/>
        </w:rPr>
        <w:instrText xml:space="preserve"> ADDIN ZOTERO_BIBL {"uncited":[],"omitted":[],"custom":[]} CSL_BIBLIOGRAPHY </w:instrText>
      </w:r>
      <w:r>
        <w:rPr>
          <w:b/>
        </w:rPr>
        <w:fldChar w:fldCharType="separate"/>
      </w:r>
      <w:r w:rsidR="005F6A8A" w:rsidRPr="005F6A8A">
        <w:t xml:space="preserve">Boettler, L. M., Goldfine, R. A., Leech, D. W., &amp; Siegrist, G. R. (Jerry). (2022). Academic Skills, Community Engaged, Leadership, and Global Themed First-Year Seminars: Comparisons in Student Success. </w:t>
      </w:r>
      <w:r w:rsidR="005F6A8A" w:rsidRPr="005F6A8A">
        <w:rPr>
          <w:i/>
          <w:iCs/>
        </w:rPr>
        <w:t>Journal of College Student Retention: Research, Theory &amp; Practice</w:t>
      </w:r>
      <w:r w:rsidR="005F6A8A" w:rsidRPr="005F6A8A">
        <w:t xml:space="preserve">, </w:t>
      </w:r>
      <w:r w:rsidR="005F6A8A" w:rsidRPr="005F6A8A">
        <w:rPr>
          <w:i/>
          <w:iCs/>
        </w:rPr>
        <w:t>24</w:t>
      </w:r>
      <w:r w:rsidR="005F6A8A" w:rsidRPr="005F6A8A">
        <w:t>(1), 213–233. https://doi.org/10.1177/1521025120912696</w:t>
      </w:r>
    </w:p>
    <w:p w14:paraId="1E9A265E" w14:textId="77777777" w:rsidR="005F6A8A" w:rsidRPr="005F6A8A" w:rsidRDefault="005F6A8A" w:rsidP="005F6A8A">
      <w:pPr>
        <w:pStyle w:val="Bibliography"/>
      </w:pPr>
      <w:r w:rsidRPr="005F6A8A">
        <w:t xml:space="preserve">Cree, V., Tett, E., &amp; Christie, H. (2017). From further to higher education: Transition as an ongoing process. </w:t>
      </w:r>
      <w:r w:rsidRPr="005F6A8A">
        <w:rPr>
          <w:i/>
          <w:iCs/>
        </w:rPr>
        <w:t>Higher Education</w:t>
      </w:r>
      <w:r w:rsidRPr="005F6A8A">
        <w:t xml:space="preserve">, </w:t>
      </w:r>
      <w:r w:rsidRPr="005F6A8A">
        <w:rPr>
          <w:i/>
          <w:iCs/>
        </w:rPr>
        <w:t>73</w:t>
      </w:r>
      <w:r w:rsidRPr="005F6A8A">
        <w:t>(3), 389–406. https://doi.org/10.1007/s10734-016-0101-1</w:t>
      </w:r>
    </w:p>
    <w:p w14:paraId="1ABEA2DE" w14:textId="77777777" w:rsidR="005F6A8A" w:rsidRPr="005F6A8A" w:rsidRDefault="005F6A8A" w:rsidP="005F6A8A">
      <w:pPr>
        <w:pStyle w:val="Bibliography"/>
      </w:pPr>
      <w:r w:rsidRPr="005F6A8A">
        <w:t xml:space="preserve">Fedeli, M., Liotino, M., &amp; Taylor, E. W. (2025). New Faculty Development. Challenges and Opportunities for Implementing Teaching: The Case of University of Padova (Italy). </w:t>
      </w:r>
      <w:r w:rsidRPr="005F6A8A">
        <w:rPr>
          <w:i/>
          <w:iCs/>
        </w:rPr>
        <w:t>New Directions for Adult and Continuing Education</w:t>
      </w:r>
      <w:r w:rsidRPr="005F6A8A">
        <w:t xml:space="preserve">, </w:t>
      </w:r>
      <w:r w:rsidRPr="005F6A8A">
        <w:rPr>
          <w:i/>
          <w:iCs/>
        </w:rPr>
        <w:t>2025</w:t>
      </w:r>
      <w:r w:rsidRPr="005F6A8A">
        <w:t>(187), 23–31. https://doi.org/10.1002/ace.70006</w:t>
      </w:r>
    </w:p>
    <w:p w14:paraId="1E7AD366" w14:textId="77777777" w:rsidR="005F6A8A" w:rsidRPr="005F6A8A" w:rsidRDefault="005F6A8A" w:rsidP="005F6A8A">
      <w:pPr>
        <w:pStyle w:val="Bibliography"/>
      </w:pPr>
      <w:r w:rsidRPr="005F6A8A">
        <w:t xml:space="preserve">Harrington, C. (2025). Exploring the Relationship Between First-Year Seminars and Student Success Outcomes: A Narrative Literature Review. </w:t>
      </w:r>
      <w:r w:rsidRPr="005F6A8A">
        <w:rPr>
          <w:i/>
          <w:iCs/>
        </w:rPr>
        <w:t>Journal of Postsecondary Student Success</w:t>
      </w:r>
      <w:r w:rsidRPr="005F6A8A">
        <w:t xml:space="preserve">, </w:t>
      </w:r>
      <w:r w:rsidRPr="005F6A8A">
        <w:rPr>
          <w:i/>
          <w:iCs/>
        </w:rPr>
        <w:t>4</w:t>
      </w:r>
      <w:r w:rsidRPr="005F6A8A">
        <w:t>(3), 82–117. https://doi.org/10.33009/fsop_jpss135660</w:t>
      </w:r>
    </w:p>
    <w:p w14:paraId="690CC519" w14:textId="77777777" w:rsidR="005F6A8A" w:rsidRPr="005F6A8A" w:rsidRDefault="005F6A8A" w:rsidP="005F6A8A">
      <w:pPr>
        <w:pStyle w:val="Bibliography"/>
      </w:pPr>
      <w:r w:rsidRPr="005F6A8A">
        <w:t xml:space="preserve">Lazarowicz, T. (2015). Understanding the Transition Experience of Community College Transfer Students to a 4-year University: Incorporating Schlossberg’s Transition Theory into Higher Education. </w:t>
      </w:r>
      <w:r w:rsidRPr="005F6A8A">
        <w:rPr>
          <w:i/>
          <w:iCs/>
        </w:rPr>
        <w:t>Department of Educational Administration: Dissertations, Theses, and Student Research</w:t>
      </w:r>
      <w:r w:rsidRPr="005F6A8A">
        <w:t>. https://digitalcommons.unl.edu/cehsedaddiss/216</w:t>
      </w:r>
    </w:p>
    <w:p w14:paraId="29F23024" w14:textId="77777777" w:rsidR="005F6A8A" w:rsidRPr="005F6A8A" w:rsidRDefault="005F6A8A" w:rsidP="005F6A8A">
      <w:pPr>
        <w:pStyle w:val="Bibliography"/>
      </w:pPr>
      <w:r w:rsidRPr="005F6A8A">
        <w:t xml:space="preserve">Lim, A. T. (2024). Ethical leadership in the eyes of gen Z: a literature review. </w:t>
      </w:r>
      <w:r w:rsidRPr="005F6A8A">
        <w:rPr>
          <w:i/>
          <w:iCs/>
        </w:rPr>
        <w:t>FIRM Journal of Management Studies</w:t>
      </w:r>
      <w:r w:rsidRPr="005F6A8A">
        <w:t xml:space="preserve">, </w:t>
      </w:r>
      <w:r w:rsidRPr="005F6A8A">
        <w:rPr>
          <w:i/>
          <w:iCs/>
        </w:rPr>
        <w:t>9</w:t>
      </w:r>
      <w:r w:rsidRPr="005F6A8A">
        <w:t>(1), 83–96. https://doi.org/10.33021/firm.v9i1.5059</w:t>
      </w:r>
    </w:p>
    <w:p w14:paraId="4B2DA9AC" w14:textId="77777777" w:rsidR="005F6A8A" w:rsidRPr="005F6A8A" w:rsidRDefault="005F6A8A" w:rsidP="005F6A8A">
      <w:pPr>
        <w:pStyle w:val="Bibliography"/>
      </w:pPr>
      <w:r w:rsidRPr="005F6A8A">
        <w:lastRenderedPageBreak/>
        <w:t xml:space="preserve">Maher, A. J. (2025). Rigour in interpretive qualitative research in education: Ideas to think with. </w:t>
      </w:r>
      <w:r w:rsidRPr="005F6A8A">
        <w:rPr>
          <w:i/>
          <w:iCs/>
        </w:rPr>
        <w:t>British Educational Research Journal</w:t>
      </w:r>
      <w:r w:rsidRPr="005F6A8A">
        <w:t xml:space="preserve">, </w:t>
      </w:r>
      <w:r w:rsidRPr="005F6A8A">
        <w:rPr>
          <w:i/>
          <w:iCs/>
        </w:rPr>
        <w:t>51</w:t>
      </w:r>
      <w:r w:rsidRPr="005F6A8A">
        <w:t>(5), 2099–2115. https://doi.org/10.1002/berj.4156</w:t>
      </w:r>
    </w:p>
    <w:p w14:paraId="31D30819" w14:textId="77777777" w:rsidR="005F6A8A" w:rsidRPr="005F6A8A" w:rsidRDefault="005F6A8A" w:rsidP="005F6A8A">
      <w:pPr>
        <w:pStyle w:val="Bibliography"/>
      </w:pPr>
      <w:r w:rsidRPr="005F6A8A">
        <w:t xml:space="preserve">McBride, E., Vashlishan Murray, A., &amp; Duggan, M. (2021). Academic Self-Efficacy, Student Performance, and Well-Being in a First-Year Seminar. </w:t>
      </w:r>
      <w:r w:rsidRPr="005F6A8A">
        <w:rPr>
          <w:i/>
          <w:iCs/>
        </w:rPr>
        <w:t>Journal of The First-Year Experience &amp; Students in Transition</w:t>
      </w:r>
      <w:r w:rsidRPr="005F6A8A">
        <w:t xml:space="preserve">, </w:t>
      </w:r>
      <w:r w:rsidRPr="005F6A8A">
        <w:rPr>
          <w:i/>
          <w:iCs/>
        </w:rPr>
        <w:t>33</w:t>
      </w:r>
      <w:r w:rsidRPr="005F6A8A">
        <w:t>, 99–119. https://doi.org/10.65005/154230721840428478</w:t>
      </w:r>
    </w:p>
    <w:p w14:paraId="07EA6E0B" w14:textId="77777777" w:rsidR="005F6A8A" w:rsidRPr="005F6A8A" w:rsidRDefault="005F6A8A" w:rsidP="005F6A8A">
      <w:pPr>
        <w:pStyle w:val="Bibliography"/>
      </w:pPr>
      <w:r w:rsidRPr="005F6A8A">
        <w:t xml:space="preserve">Permzadian, V., &amp; Credé, M. (2016). Do First-Year Seminars Improve College Grades and Retention? A Quantitative Review of Their Overall Effectiveness and an Examination of Moderators of Effectiveness. </w:t>
      </w:r>
      <w:r w:rsidRPr="005F6A8A">
        <w:rPr>
          <w:i/>
          <w:iCs/>
        </w:rPr>
        <w:t>Review of Educational Research</w:t>
      </w:r>
      <w:r w:rsidRPr="005F6A8A">
        <w:t xml:space="preserve">, </w:t>
      </w:r>
      <w:r w:rsidRPr="005F6A8A">
        <w:rPr>
          <w:i/>
          <w:iCs/>
        </w:rPr>
        <w:t>86</w:t>
      </w:r>
      <w:r w:rsidRPr="005F6A8A">
        <w:t>(1), 277–316. https://doi.org/10.3102/0034654315584955</w:t>
      </w:r>
    </w:p>
    <w:p w14:paraId="478C4FFF" w14:textId="77777777" w:rsidR="005F6A8A" w:rsidRPr="005F6A8A" w:rsidRDefault="005F6A8A" w:rsidP="005F6A8A">
      <w:pPr>
        <w:pStyle w:val="Bibliography"/>
      </w:pPr>
      <w:r w:rsidRPr="005F6A8A">
        <w:t xml:space="preserve">Samoila, M. E., &amp; Vrabie, T. (2023). First-year seminars through the lens of Vincent Tinto’s theories of student departure. A systematic review. </w:t>
      </w:r>
      <w:r w:rsidRPr="005F6A8A">
        <w:rPr>
          <w:i/>
          <w:iCs/>
        </w:rPr>
        <w:t>Frontiers in Education</w:t>
      </w:r>
      <w:r w:rsidRPr="005F6A8A">
        <w:t xml:space="preserve">, </w:t>
      </w:r>
      <w:r w:rsidRPr="005F6A8A">
        <w:rPr>
          <w:i/>
          <w:iCs/>
        </w:rPr>
        <w:t>8</w:t>
      </w:r>
      <w:r w:rsidRPr="005F6A8A">
        <w:t>. https://doi.org/10.3389/feduc.2023.1205667</w:t>
      </w:r>
    </w:p>
    <w:p w14:paraId="6CE5C5B9" w14:textId="77777777" w:rsidR="005F6A8A" w:rsidRPr="005F6A8A" w:rsidRDefault="005F6A8A" w:rsidP="005F6A8A">
      <w:pPr>
        <w:pStyle w:val="Bibliography"/>
      </w:pPr>
      <w:r w:rsidRPr="005F6A8A">
        <w:t xml:space="preserve">Wilton, M., Katz, D., Clairmont, A., Gonzalez-Nino, E., Foltz, K. R., &amp; Christoffersen, R. E. (2021). Improving Academic Performance and Retention of First-Year Biology Students through a Scalable Peer Mentorship Program. </w:t>
      </w:r>
      <w:r w:rsidRPr="005F6A8A">
        <w:rPr>
          <w:i/>
          <w:iCs/>
        </w:rPr>
        <w:t>CBE Life Sciences Education</w:t>
      </w:r>
      <w:r w:rsidRPr="005F6A8A">
        <w:t xml:space="preserve">, </w:t>
      </w:r>
      <w:r w:rsidRPr="005F6A8A">
        <w:rPr>
          <w:i/>
          <w:iCs/>
        </w:rPr>
        <w:t>20</w:t>
      </w:r>
      <w:r w:rsidRPr="005F6A8A">
        <w:t>(4), ar63. https://doi.org/10.1187/cbe.21-02-0039</w:t>
      </w:r>
    </w:p>
    <w:p w14:paraId="45DF2D1D" w14:textId="77777777" w:rsidR="00C33B0C" w:rsidRPr="009A4EE3" w:rsidRDefault="00C33B0C" w:rsidP="00C33B0C">
      <w:pPr>
        <w:pStyle w:val="NormalWeb"/>
        <w:spacing w:before="0" w:beforeAutospacing="0" w:after="0" w:afterAutospacing="0" w:line="480" w:lineRule="auto"/>
        <w:rPr>
          <w:b/>
        </w:rPr>
      </w:pPr>
      <w:r>
        <w:rPr>
          <w:b/>
        </w:rPr>
        <w:fldChar w:fldCharType="end"/>
      </w:r>
    </w:p>
    <w:p w14:paraId="1DD28263" w14:textId="77777777" w:rsidR="004B4442" w:rsidRPr="009A4EE3" w:rsidRDefault="004B4442" w:rsidP="009A4EE3">
      <w:pPr>
        <w:pStyle w:val="NormalWeb"/>
        <w:spacing w:before="0" w:beforeAutospacing="0" w:after="0" w:afterAutospacing="0" w:line="480" w:lineRule="auto"/>
        <w:rPr>
          <w:b/>
        </w:rPr>
      </w:pPr>
    </w:p>
    <w:p w14:paraId="2FE0C311" w14:textId="77777777" w:rsidR="00DF0145" w:rsidRPr="009A4EE3" w:rsidRDefault="00DF0145" w:rsidP="009A4EE3">
      <w:pPr>
        <w:spacing w:after="0" w:line="480" w:lineRule="auto"/>
        <w:outlineLvl w:val="2"/>
        <w:rPr>
          <w:rFonts w:cs="Times New Roman"/>
          <w:szCs w:val="24"/>
        </w:rPr>
      </w:pPr>
    </w:p>
    <w:sectPr w:rsidR="00DF0145" w:rsidRPr="009A4E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DB755" w14:textId="77777777" w:rsidR="00E22095" w:rsidRDefault="00E22095" w:rsidP="004B4442">
      <w:pPr>
        <w:spacing w:after="0" w:line="240" w:lineRule="auto"/>
      </w:pPr>
      <w:r>
        <w:separator/>
      </w:r>
    </w:p>
  </w:endnote>
  <w:endnote w:type="continuationSeparator" w:id="0">
    <w:p w14:paraId="4AF28A37" w14:textId="77777777" w:rsidR="00E22095" w:rsidRDefault="00E22095" w:rsidP="004B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B3F0F" w14:textId="77777777" w:rsidR="00E22095" w:rsidRDefault="00E22095" w:rsidP="004B4442">
      <w:pPr>
        <w:spacing w:after="0" w:line="240" w:lineRule="auto"/>
      </w:pPr>
      <w:r>
        <w:separator/>
      </w:r>
    </w:p>
  </w:footnote>
  <w:footnote w:type="continuationSeparator" w:id="0">
    <w:p w14:paraId="1E8B08AD" w14:textId="77777777" w:rsidR="00E22095" w:rsidRDefault="00E22095" w:rsidP="004B4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249538"/>
      <w:docPartObj>
        <w:docPartGallery w:val="Page Numbers (Top of Page)"/>
        <w:docPartUnique/>
      </w:docPartObj>
    </w:sdtPr>
    <w:sdtEndPr>
      <w:rPr>
        <w:noProof/>
      </w:rPr>
    </w:sdtEndPr>
    <w:sdtContent>
      <w:p w14:paraId="6774B9E5" w14:textId="77777777" w:rsidR="004B4442" w:rsidRDefault="004B4442">
        <w:pPr>
          <w:pStyle w:val="Header"/>
          <w:jc w:val="right"/>
        </w:pPr>
        <w:r>
          <w:fldChar w:fldCharType="begin"/>
        </w:r>
        <w:r>
          <w:instrText xml:space="preserve"> PAGE   \* MERGEFORMAT </w:instrText>
        </w:r>
        <w:r>
          <w:fldChar w:fldCharType="separate"/>
        </w:r>
        <w:r w:rsidR="00EB42A8">
          <w:rPr>
            <w:noProof/>
          </w:rPr>
          <w:t>14</w:t>
        </w:r>
        <w:r>
          <w:rPr>
            <w:noProof/>
          </w:rPr>
          <w:fldChar w:fldCharType="end"/>
        </w:r>
      </w:p>
    </w:sdtContent>
  </w:sdt>
  <w:p w14:paraId="040C6308" w14:textId="77777777" w:rsidR="004B4442" w:rsidRDefault="004B4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55333"/>
    <w:multiLevelType w:val="hybridMultilevel"/>
    <w:tmpl w:val="4532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B1A36"/>
    <w:multiLevelType w:val="multilevel"/>
    <w:tmpl w:val="A0FC5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1131BE"/>
    <w:multiLevelType w:val="multilevel"/>
    <w:tmpl w:val="1356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66AC5"/>
    <w:multiLevelType w:val="hybridMultilevel"/>
    <w:tmpl w:val="A2CA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1B"/>
    <w:rsid w:val="00000928"/>
    <w:rsid w:val="000149A7"/>
    <w:rsid w:val="001F704B"/>
    <w:rsid w:val="00271464"/>
    <w:rsid w:val="002F172E"/>
    <w:rsid w:val="0034771D"/>
    <w:rsid w:val="003C5C40"/>
    <w:rsid w:val="003D723C"/>
    <w:rsid w:val="00463973"/>
    <w:rsid w:val="004B4442"/>
    <w:rsid w:val="004D5138"/>
    <w:rsid w:val="00514046"/>
    <w:rsid w:val="005E448E"/>
    <w:rsid w:val="005F6A8A"/>
    <w:rsid w:val="00683231"/>
    <w:rsid w:val="006B7B29"/>
    <w:rsid w:val="007959CA"/>
    <w:rsid w:val="009A1273"/>
    <w:rsid w:val="009A4EE3"/>
    <w:rsid w:val="00B66607"/>
    <w:rsid w:val="00B94235"/>
    <w:rsid w:val="00C2603D"/>
    <w:rsid w:val="00C33B0C"/>
    <w:rsid w:val="00CD1F1B"/>
    <w:rsid w:val="00CF6E4E"/>
    <w:rsid w:val="00DB1464"/>
    <w:rsid w:val="00DF0145"/>
    <w:rsid w:val="00E22095"/>
    <w:rsid w:val="00E30EBC"/>
    <w:rsid w:val="00E77B8E"/>
    <w:rsid w:val="00EB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93FD"/>
  <w15:chartTrackingRefBased/>
  <w15:docId w15:val="{C72BAE69-DB7E-4237-89E4-DCE06C04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paragraph" w:styleId="Heading2">
    <w:name w:val="heading 2"/>
    <w:basedOn w:val="Normal"/>
    <w:link w:val="Heading2Char"/>
    <w:uiPriority w:val="9"/>
    <w:qFormat/>
    <w:rsid w:val="00CD1F1B"/>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CD1F1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1F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1F1B"/>
    <w:rPr>
      <w:rFonts w:ascii="Times New Roman" w:eastAsia="Times New Roman" w:hAnsi="Times New Roman" w:cs="Times New Roman"/>
      <w:b/>
      <w:bCs/>
      <w:sz w:val="27"/>
      <w:szCs w:val="27"/>
    </w:rPr>
  </w:style>
  <w:style w:type="paragraph" w:customStyle="1" w:styleId="font-claude-response-body">
    <w:name w:val="font-claude-response-body"/>
    <w:basedOn w:val="Normal"/>
    <w:rsid w:val="00CD1F1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D1F1B"/>
    <w:rPr>
      <w:b/>
      <w:bCs/>
    </w:rPr>
  </w:style>
  <w:style w:type="paragraph" w:styleId="NormalWeb">
    <w:name w:val="Normal (Web)"/>
    <w:basedOn w:val="Normal"/>
    <w:uiPriority w:val="99"/>
    <w:unhideWhenUsed/>
    <w:rsid w:val="00CD1F1B"/>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4B4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442"/>
    <w:rPr>
      <w:rFonts w:ascii="Times New Roman" w:hAnsi="Times New Roman"/>
      <w:sz w:val="24"/>
    </w:rPr>
  </w:style>
  <w:style w:type="paragraph" w:styleId="Footer">
    <w:name w:val="footer"/>
    <w:basedOn w:val="Normal"/>
    <w:link w:val="FooterChar"/>
    <w:uiPriority w:val="99"/>
    <w:unhideWhenUsed/>
    <w:rsid w:val="004B4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442"/>
    <w:rPr>
      <w:rFonts w:ascii="Times New Roman" w:hAnsi="Times New Roman"/>
      <w:sz w:val="24"/>
    </w:rPr>
  </w:style>
  <w:style w:type="paragraph" w:styleId="Bibliography">
    <w:name w:val="Bibliography"/>
    <w:basedOn w:val="Normal"/>
    <w:next w:val="Normal"/>
    <w:uiPriority w:val="37"/>
    <w:unhideWhenUsed/>
    <w:rsid w:val="00C33B0C"/>
    <w:pPr>
      <w:spacing w:after="0" w:line="480" w:lineRule="auto"/>
      <w:ind w:left="720" w:hanging="720"/>
    </w:pPr>
  </w:style>
  <w:style w:type="paragraph" w:styleId="ListParagraph">
    <w:name w:val="List Paragraph"/>
    <w:basedOn w:val="Normal"/>
    <w:uiPriority w:val="34"/>
    <w:qFormat/>
    <w:rsid w:val="00EB4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807">
      <w:bodyDiv w:val="1"/>
      <w:marLeft w:val="0"/>
      <w:marRight w:val="0"/>
      <w:marTop w:val="0"/>
      <w:marBottom w:val="0"/>
      <w:divBdr>
        <w:top w:val="none" w:sz="0" w:space="0" w:color="auto"/>
        <w:left w:val="none" w:sz="0" w:space="0" w:color="auto"/>
        <w:bottom w:val="none" w:sz="0" w:space="0" w:color="auto"/>
        <w:right w:val="none" w:sz="0" w:space="0" w:color="auto"/>
      </w:divBdr>
    </w:div>
    <w:div w:id="70666477">
      <w:bodyDiv w:val="1"/>
      <w:marLeft w:val="0"/>
      <w:marRight w:val="0"/>
      <w:marTop w:val="0"/>
      <w:marBottom w:val="0"/>
      <w:divBdr>
        <w:top w:val="none" w:sz="0" w:space="0" w:color="auto"/>
        <w:left w:val="none" w:sz="0" w:space="0" w:color="auto"/>
        <w:bottom w:val="none" w:sz="0" w:space="0" w:color="auto"/>
        <w:right w:val="none" w:sz="0" w:space="0" w:color="auto"/>
      </w:divBdr>
    </w:div>
    <w:div w:id="157384376">
      <w:bodyDiv w:val="1"/>
      <w:marLeft w:val="0"/>
      <w:marRight w:val="0"/>
      <w:marTop w:val="0"/>
      <w:marBottom w:val="0"/>
      <w:divBdr>
        <w:top w:val="none" w:sz="0" w:space="0" w:color="auto"/>
        <w:left w:val="none" w:sz="0" w:space="0" w:color="auto"/>
        <w:bottom w:val="none" w:sz="0" w:space="0" w:color="auto"/>
        <w:right w:val="none" w:sz="0" w:space="0" w:color="auto"/>
      </w:divBdr>
      <w:divsChild>
        <w:div w:id="168375527">
          <w:marLeft w:val="0"/>
          <w:marRight w:val="0"/>
          <w:marTop w:val="120"/>
          <w:marBottom w:val="120"/>
          <w:divBdr>
            <w:top w:val="none" w:sz="0" w:space="0" w:color="auto"/>
            <w:left w:val="none" w:sz="0" w:space="0" w:color="auto"/>
            <w:bottom w:val="none" w:sz="0" w:space="0" w:color="auto"/>
            <w:right w:val="none" w:sz="0" w:space="0" w:color="auto"/>
          </w:divBdr>
        </w:div>
        <w:div w:id="591746235">
          <w:marLeft w:val="0"/>
          <w:marRight w:val="0"/>
          <w:marTop w:val="120"/>
          <w:marBottom w:val="120"/>
          <w:divBdr>
            <w:top w:val="none" w:sz="0" w:space="0" w:color="auto"/>
            <w:left w:val="none" w:sz="0" w:space="0" w:color="auto"/>
            <w:bottom w:val="none" w:sz="0" w:space="0" w:color="auto"/>
            <w:right w:val="none" w:sz="0" w:space="0" w:color="auto"/>
          </w:divBdr>
        </w:div>
        <w:div w:id="858735763">
          <w:marLeft w:val="0"/>
          <w:marRight w:val="0"/>
          <w:marTop w:val="120"/>
          <w:marBottom w:val="120"/>
          <w:divBdr>
            <w:top w:val="none" w:sz="0" w:space="0" w:color="auto"/>
            <w:left w:val="none" w:sz="0" w:space="0" w:color="auto"/>
            <w:bottom w:val="none" w:sz="0" w:space="0" w:color="auto"/>
            <w:right w:val="none" w:sz="0" w:space="0" w:color="auto"/>
          </w:divBdr>
        </w:div>
        <w:div w:id="1492140765">
          <w:marLeft w:val="0"/>
          <w:marRight w:val="0"/>
          <w:marTop w:val="120"/>
          <w:marBottom w:val="120"/>
          <w:divBdr>
            <w:top w:val="none" w:sz="0" w:space="0" w:color="auto"/>
            <w:left w:val="none" w:sz="0" w:space="0" w:color="auto"/>
            <w:bottom w:val="none" w:sz="0" w:space="0" w:color="auto"/>
            <w:right w:val="none" w:sz="0" w:space="0" w:color="auto"/>
          </w:divBdr>
        </w:div>
        <w:div w:id="592401931">
          <w:marLeft w:val="0"/>
          <w:marRight w:val="0"/>
          <w:marTop w:val="120"/>
          <w:marBottom w:val="120"/>
          <w:divBdr>
            <w:top w:val="none" w:sz="0" w:space="0" w:color="auto"/>
            <w:left w:val="none" w:sz="0" w:space="0" w:color="auto"/>
            <w:bottom w:val="none" w:sz="0" w:space="0" w:color="auto"/>
            <w:right w:val="none" w:sz="0" w:space="0" w:color="auto"/>
          </w:divBdr>
        </w:div>
        <w:div w:id="198861277">
          <w:marLeft w:val="0"/>
          <w:marRight w:val="0"/>
          <w:marTop w:val="120"/>
          <w:marBottom w:val="120"/>
          <w:divBdr>
            <w:top w:val="none" w:sz="0" w:space="0" w:color="auto"/>
            <w:left w:val="none" w:sz="0" w:space="0" w:color="auto"/>
            <w:bottom w:val="none" w:sz="0" w:space="0" w:color="auto"/>
            <w:right w:val="none" w:sz="0" w:space="0" w:color="auto"/>
          </w:divBdr>
        </w:div>
        <w:div w:id="6912370">
          <w:marLeft w:val="0"/>
          <w:marRight w:val="0"/>
          <w:marTop w:val="120"/>
          <w:marBottom w:val="120"/>
          <w:divBdr>
            <w:top w:val="none" w:sz="0" w:space="0" w:color="auto"/>
            <w:left w:val="none" w:sz="0" w:space="0" w:color="auto"/>
            <w:bottom w:val="none" w:sz="0" w:space="0" w:color="auto"/>
            <w:right w:val="none" w:sz="0" w:space="0" w:color="auto"/>
          </w:divBdr>
        </w:div>
        <w:div w:id="776560844">
          <w:marLeft w:val="0"/>
          <w:marRight w:val="0"/>
          <w:marTop w:val="120"/>
          <w:marBottom w:val="120"/>
          <w:divBdr>
            <w:top w:val="none" w:sz="0" w:space="0" w:color="auto"/>
            <w:left w:val="none" w:sz="0" w:space="0" w:color="auto"/>
            <w:bottom w:val="none" w:sz="0" w:space="0" w:color="auto"/>
            <w:right w:val="none" w:sz="0" w:space="0" w:color="auto"/>
          </w:divBdr>
        </w:div>
        <w:div w:id="360472510">
          <w:marLeft w:val="0"/>
          <w:marRight w:val="0"/>
          <w:marTop w:val="120"/>
          <w:marBottom w:val="120"/>
          <w:divBdr>
            <w:top w:val="none" w:sz="0" w:space="0" w:color="auto"/>
            <w:left w:val="none" w:sz="0" w:space="0" w:color="auto"/>
            <w:bottom w:val="none" w:sz="0" w:space="0" w:color="auto"/>
            <w:right w:val="none" w:sz="0" w:space="0" w:color="auto"/>
          </w:divBdr>
        </w:div>
        <w:div w:id="537013348">
          <w:marLeft w:val="0"/>
          <w:marRight w:val="0"/>
          <w:marTop w:val="120"/>
          <w:marBottom w:val="120"/>
          <w:divBdr>
            <w:top w:val="none" w:sz="0" w:space="0" w:color="auto"/>
            <w:left w:val="none" w:sz="0" w:space="0" w:color="auto"/>
            <w:bottom w:val="none" w:sz="0" w:space="0" w:color="auto"/>
            <w:right w:val="none" w:sz="0" w:space="0" w:color="auto"/>
          </w:divBdr>
        </w:div>
      </w:divsChild>
    </w:div>
    <w:div w:id="167597363">
      <w:bodyDiv w:val="1"/>
      <w:marLeft w:val="0"/>
      <w:marRight w:val="0"/>
      <w:marTop w:val="0"/>
      <w:marBottom w:val="0"/>
      <w:divBdr>
        <w:top w:val="none" w:sz="0" w:space="0" w:color="auto"/>
        <w:left w:val="none" w:sz="0" w:space="0" w:color="auto"/>
        <w:bottom w:val="none" w:sz="0" w:space="0" w:color="auto"/>
        <w:right w:val="none" w:sz="0" w:space="0" w:color="auto"/>
      </w:divBdr>
      <w:divsChild>
        <w:div w:id="414741082">
          <w:marLeft w:val="0"/>
          <w:marRight w:val="0"/>
          <w:marTop w:val="120"/>
          <w:marBottom w:val="120"/>
          <w:divBdr>
            <w:top w:val="none" w:sz="0" w:space="0" w:color="auto"/>
            <w:left w:val="none" w:sz="0" w:space="0" w:color="auto"/>
            <w:bottom w:val="none" w:sz="0" w:space="0" w:color="auto"/>
            <w:right w:val="none" w:sz="0" w:space="0" w:color="auto"/>
          </w:divBdr>
        </w:div>
      </w:divsChild>
    </w:div>
    <w:div w:id="377823144">
      <w:bodyDiv w:val="1"/>
      <w:marLeft w:val="0"/>
      <w:marRight w:val="0"/>
      <w:marTop w:val="0"/>
      <w:marBottom w:val="0"/>
      <w:divBdr>
        <w:top w:val="none" w:sz="0" w:space="0" w:color="auto"/>
        <w:left w:val="none" w:sz="0" w:space="0" w:color="auto"/>
        <w:bottom w:val="none" w:sz="0" w:space="0" w:color="auto"/>
        <w:right w:val="none" w:sz="0" w:space="0" w:color="auto"/>
      </w:divBdr>
      <w:divsChild>
        <w:div w:id="16007338">
          <w:marLeft w:val="0"/>
          <w:marRight w:val="0"/>
          <w:marTop w:val="120"/>
          <w:marBottom w:val="120"/>
          <w:divBdr>
            <w:top w:val="none" w:sz="0" w:space="0" w:color="auto"/>
            <w:left w:val="none" w:sz="0" w:space="0" w:color="auto"/>
            <w:bottom w:val="none" w:sz="0" w:space="0" w:color="auto"/>
            <w:right w:val="none" w:sz="0" w:space="0" w:color="auto"/>
          </w:divBdr>
        </w:div>
        <w:div w:id="1235048178">
          <w:marLeft w:val="0"/>
          <w:marRight w:val="0"/>
          <w:marTop w:val="120"/>
          <w:marBottom w:val="120"/>
          <w:divBdr>
            <w:top w:val="none" w:sz="0" w:space="0" w:color="auto"/>
            <w:left w:val="none" w:sz="0" w:space="0" w:color="auto"/>
            <w:bottom w:val="none" w:sz="0" w:space="0" w:color="auto"/>
            <w:right w:val="none" w:sz="0" w:space="0" w:color="auto"/>
          </w:divBdr>
        </w:div>
      </w:divsChild>
    </w:div>
    <w:div w:id="651374659">
      <w:bodyDiv w:val="1"/>
      <w:marLeft w:val="0"/>
      <w:marRight w:val="0"/>
      <w:marTop w:val="0"/>
      <w:marBottom w:val="0"/>
      <w:divBdr>
        <w:top w:val="none" w:sz="0" w:space="0" w:color="auto"/>
        <w:left w:val="none" w:sz="0" w:space="0" w:color="auto"/>
        <w:bottom w:val="none" w:sz="0" w:space="0" w:color="auto"/>
        <w:right w:val="none" w:sz="0" w:space="0" w:color="auto"/>
      </w:divBdr>
    </w:div>
    <w:div w:id="965544691">
      <w:bodyDiv w:val="1"/>
      <w:marLeft w:val="0"/>
      <w:marRight w:val="0"/>
      <w:marTop w:val="0"/>
      <w:marBottom w:val="0"/>
      <w:divBdr>
        <w:top w:val="none" w:sz="0" w:space="0" w:color="auto"/>
        <w:left w:val="none" w:sz="0" w:space="0" w:color="auto"/>
        <w:bottom w:val="none" w:sz="0" w:space="0" w:color="auto"/>
        <w:right w:val="none" w:sz="0" w:space="0" w:color="auto"/>
      </w:divBdr>
      <w:divsChild>
        <w:div w:id="1597135549">
          <w:marLeft w:val="0"/>
          <w:marRight w:val="0"/>
          <w:marTop w:val="120"/>
          <w:marBottom w:val="120"/>
          <w:divBdr>
            <w:top w:val="none" w:sz="0" w:space="0" w:color="auto"/>
            <w:left w:val="none" w:sz="0" w:space="0" w:color="auto"/>
            <w:bottom w:val="none" w:sz="0" w:space="0" w:color="auto"/>
            <w:right w:val="none" w:sz="0" w:space="0" w:color="auto"/>
          </w:divBdr>
        </w:div>
      </w:divsChild>
    </w:div>
    <w:div w:id="1025012429">
      <w:bodyDiv w:val="1"/>
      <w:marLeft w:val="0"/>
      <w:marRight w:val="0"/>
      <w:marTop w:val="0"/>
      <w:marBottom w:val="0"/>
      <w:divBdr>
        <w:top w:val="none" w:sz="0" w:space="0" w:color="auto"/>
        <w:left w:val="none" w:sz="0" w:space="0" w:color="auto"/>
        <w:bottom w:val="none" w:sz="0" w:space="0" w:color="auto"/>
        <w:right w:val="none" w:sz="0" w:space="0" w:color="auto"/>
      </w:divBdr>
      <w:divsChild>
        <w:div w:id="816611108">
          <w:marLeft w:val="0"/>
          <w:marRight w:val="0"/>
          <w:marTop w:val="120"/>
          <w:marBottom w:val="120"/>
          <w:divBdr>
            <w:top w:val="none" w:sz="0" w:space="0" w:color="auto"/>
            <w:left w:val="none" w:sz="0" w:space="0" w:color="auto"/>
            <w:bottom w:val="none" w:sz="0" w:space="0" w:color="auto"/>
            <w:right w:val="none" w:sz="0" w:space="0" w:color="auto"/>
          </w:divBdr>
        </w:div>
      </w:divsChild>
    </w:div>
    <w:div w:id="1239824335">
      <w:bodyDiv w:val="1"/>
      <w:marLeft w:val="0"/>
      <w:marRight w:val="0"/>
      <w:marTop w:val="0"/>
      <w:marBottom w:val="0"/>
      <w:divBdr>
        <w:top w:val="none" w:sz="0" w:space="0" w:color="auto"/>
        <w:left w:val="none" w:sz="0" w:space="0" w:color="auto"/>
        <w:bottom w:val="none" w:sz="0" w:space="0" w:color="auto"/>
        <w:right w:val="none" w:sz="0" w:space="0" w:color="auto"/>
      </w:divBdr>
      <w:divsChild>
        <w:div w:id="978532557">
          <w:marLeft w:val="0"/>
          <w:marRight w:val="0"/>
          <w:marTop w:val="120"/>
          <w:marBottom w:val="120"/>
          <w:divBdr>
            <w:top w:val="none" w:sz="0" w:space="0" w:color="auto"/>
            <w:left w:val="none" w:sz="0" w:space="0" w:color="auto"/>
            <w:bottom w:val="none" w:sz="0" w:space="0" w:color="auto"/>
            <w:right w:val="none" w:sz="0" w:space="0" w:color="auto"/>
          </w:divBdr>
        </w:div>
        <w:div w:id="546114122">
          <w:marLeft w:val="0"/>
          <w:marRight w:val="0"/>
          <w:marTop w:val="120"/>
          <w:marBottom w:val="120"/>
          <w:divBdr>
            <w:top w:val="none" w:sz="0" w:space="0" w:color="auto"/>
            <w:left w:val="none" w:sz="0" w:space="0" w:color="auto"/>
            <w:bottom w:val="none" w:sz="0" w:space="0" w:color="auto"/>
            <w:right w:val="none" w:sz="0" w:space="0" w:color="auto"/>
          </w:divBdr>
        </w:div>
      </w:divsChild>
    </w:div>
    <w:div w:id="1477332745">
      <w:bodyDiv w:val="1"/>
      <w:marLeft w:val="0"/>
      <w:marRight w:val="0"/>
      <w:marTop w:val="0"/>
      <w:marBottom w:val="0"/>
      <w:divBdr>
        <w:top w:val="none" w:sz="0" w:space="0" w:color="auto"/>
        <w:left w:val="none" w:sz="0" w:space="0" w:color="auto"/>
        <w:bottom w:val="none" w:sz="0" w:space="0" w:color="auto"/>
        <w:right w:val="none" w:sz="0" w:space="0" w:color="auto"/>
      </w:divBdr>
    </w:div>
    <w:div w:id="1582177965">
      <w:bodyDiv w:val="1"/>
      <w:marLeft w:val="0"/>
      <w:marRight w:val="0"/>
      <w:marTop w:val="0"/>
      <w:marBottom w:val="0"/>
      <w:divBdr>
        <w:top w:val="none" w:sz="0" w:space="0" w:color="auto"/>
        <w:left w:val="none" w:sz="0" w:space="0" w:color="auto"/>
        <w:bottom w:val="none" w:sz="0" w:space="0" w:color="auto"/>
        <w:right w:val="none" w:sz="0" w:space="0" w:color="auto"/>
      </w:divBdr>
      <w:divsChild>
        <w:div w:id="214321472">
          <w:marLeft w:val="0"/>
          <w:marRight w:val="0"/>
          <w:marTop w:val="120"/>
          <w:marBottom w:val="120"/>
          <w:divBdr>
            <w:top w:val="none" w:sz="0" w:space="0" w:color="auto"/>
            <w:left w:val="none" w:sz="0" w:space="0" w:color="auto"/>
            <w:bottom w:val="none" w:sz="0" w:space="0" w:color="auto"/>
            <w:right w:val="none" w:sz="0" w:space="0" w:color="auto"/>
          </w:divBdr>
        </w:div>
        <w:div w:id="1201282459">
          <w:marLeft w:val="0"/>
          <w:marRight w:val="0"/>
          <w:marTop w:val="120"/>
          <w:marBottom w:val="120"/>
          <w:divBdr>
            <w:top w:val="none" w:sz="0" w:space="0" w:color="auto"/>
            <w:left w:val="none" w:sz="0" w:space="0" w:color="auto"/>
            <w:bottom w:val="none" w:sz="0" w:space="0" w:color="auto"/>
            <w:right w:val="none" w:sz="0" w:space="0" w:color="auto"/>
          </w:divBdr>
        </w:div>
        <w:div w:id="1700355053">
          <w:marLeft w:val="0"/>
          <w:marRight w:val="0"/>
          <w:marTop w:val="120"/>
          <w:marBottom w:val="120"/>
          <w:divBdr>
            <w:top w:val="none" w:sz="0" w:space="0" w:color="auto"/>
            <w:left w:val="none" w:sz="0" w:space="0" w:color="auto"/>
            <w:bottom w:val="none" w:sz="0" w:space="0" w:color="auto"/>
            <w:right w:val="none" w:sz="0" w:space="0" w:color="auto"/>
          </w:divBdr>
        </w:div>
        <w:div w:id="592976009">
          <w:marLeft w:val="0"/>
          <w:marRight w:val="0"/>
          <w:marTop w:val="120"/>
          <w:marBottom w:val="120"/>
          <w:divBdr>
            <w:top w:val="none" w:sz="0" w:space="0" w:color="auto"/>
            <w:left w:val="none" w:sz="0" w:space="0" w:color="auto"/>
            <w:bottom w:val="none" w:sz="0" w:space="0" w:color="auto"/>
            <w:right w:val="none" w:sz="0" w:space="0" w:color="auto"/>
          </w:divBdr>
        </w:div>
        <w:div w:id="1493370599">
          <w:marLeft w:val="0"/>
          <w:marRight w:val="0"/>
          <w:marTop w:val="120"/>
          <w:marBottom w:val="120"/>
          <w:divBdr>
            <w:top w:val="none" w:sz="0" w:space="0" w:color="auto"/>
            <w:left w:val="none" w:sz="0" w:space="0" w:color="auto"/>
            <w:bottom w:val="none" w:sz="0" w:space="0" w:color="auto"/>
            <w:right w:val="none" w:sz="0" w:space="0" w:color="auto"/>
          </w:divBdr>
        </w:div>
        <w:div w:id="1173882249">
          <w:marLeft w:val="0"/>
          <w:marRight w:val="0"/>
          <w:marTop w:val="120"/>
          <w:marBottom w:val="120"/>
          <w:divBdr>
            <w:top w:val="none" w:sz="0" w:space="0" w:color="auto"/>
            <w:left w:val="none" w:sz="0" w:space="0" w:color="auto"/>
            <w:bottom w:val="none" w:sz="0" w:space="0" w:color="auto"/>
            <w:right w:val="none" w:sz="0" w:space="0" w:color="auto"/>
          </w:divBdr>
        </w:div>
      </w:divsChild>
    </w:div>
    <w:div w:id="1697658628">
      <w:bodyDiv w:val="1"/>
      <w:marLeft w:val="0"/>
      <w:marRight w:val="0"/>
      <w:marTop w:val="0"/>
      <w:marBottom w:val="0"/>
      <w:divBdr>
        <w:top w:val="none" w:sz="0" w:space="0" w:color="auto"/>
        <w:left w:val="none" w:sz="0" w:space="0" w:color="auto"/>
        <w:bottom w:val="none" w:sz="0" w:space="0" w:color="auto"/>
        <w:right w:val="none" w:sz="0" w:space="0" w:color="auto"/>
      </w:divBdr>
    </w:div>
    <w:div w:id="1742559142">
      <w:bodyDiv w:val="1"/>
      <w:marLeft w:val="0"/>
      <w:marRight w:val="0"/>
      <w:marTop w:val="0"/>
      <w:marBottom w:val="0"/>
      <w:divBdr>
        <w:top w:val="none" w:sz="0" w:space="0" w:color="auto"/>
        <w:left w:val="none" w:sz="0" w:space="0" w:color="auto"/>
        <w:bottom w:val="none" w:sz="0" w:space="0" w:color="auto"/>
        <w:right w:val="none" w:sz="0" w:space="0" w:color="auto"/>
      </w:divBdr>
      <w:divsChild>
        <w:div w:id="148635684">
          <w:marLeft w:val="0"/>
          <w:marRight w:val="0"/>
          <w:marTop w:val="120"/>
          <w:marBottom w:val="120"/>
          <w:divBdr>
            <w:top w:val="none" w:sz="0" w:space="0" w:color="auto"/>
            <w:left w:val="none" w:sz="0" w:space="0" w:color="auto"/>
            <w:bottom w:val="none" w:sz="0" w:space="0" w:color="auto"/>
            <w:right w:val="none" w:sz="0" w:space="0" w:color="auto"/>
          </w:divBdr>
        </w:div>
      </w:divsChild>
    </w:div>
    <w:div w:id="1931503501">
      <w:bodyDiv w:val="1"/>
      <w:marLeft w:val="0"/>
      <w:marRight w:val="0"/>
      <w:marTop w:val="0"/>
      <w:marBottom w:val="0"/>
      <w:divBdr>
        <w:top w:val="none" w:sz="0" w:space="0" w:color="auto"/>
        <w:left w:val="none" w:sz="0" w:space="0" w:color="auto"/>
        <w:bottom w:val="none" w:sz="0" w:space="0" w:color="auto"/>
        <w:right w:val="none" w:sz="0" w:space="0" w:color="auto"/>
      </w:divBdr>
    </w:div>
    <w:div w:id="2008631320">
      <w:bodyDiv w:val="1"/>
      <w:marLeft w:val="0"/>
      <w:marRight w:val="0"/>
      <w:marTop w:val="0"/>
      <w:marBottom w:val="0"/>
      <w:divBdr>
        <w:top w:val="none" w:sz="0" w:space="0" w:color="auto"/>
        <w:left w:val="none" w:sz="0" w:space="0" w:color="auto"/>
        <w:bottom w:val="none" w:sz="0" w:space="0" w:color="auto"/>
        <w:right w:val="none" w:sz="0" w:space="0" w:color="auto"/>
      </w:divBdr>
      <w:divsChild>
        <w:div w:id="1897472706">
          <w:marLeft w:val="0"/>
          <w:marRight w:val="0"/>
          <w:marTop w:val="120"/>
          <w:marBottom w:val="120"/>
          <w:divBdr>
            <w:top w:val="none" w:sz="0" w:space="0" w:color="auto"/>
            <w:left w:val="none" w:sz="0" w:space="0" w:color="auto"/>
            <w:bottom w:val="none" w:sz="0" w:space="0" w:color="auto"/>
            <w:right w:val="none" w:sz="0" w:space="0" w:color="auto"/>
          </w:divBdr>
        </w:div>
      </w:divsChild>
    </w:div>
    <w:div w:id="2106459402">
      <w:bodyDiv w:val="1"/>
      <w:marLeft w:val="0"/>
      <w:marRight w:val="0"/>
      <w:marTop w:val="0"/>
      <w:marBottom w:val="0"/>
      <w:divBdr>
        <w:top w:val="none" w:sz="0" w:space="0" w:color="auto"/>
        <w:left w:val="none" w:sz="0" w:space="0" w:color="auto"/>
        <w:bottom w:val="none" w:sz="0" w:space="0" w:color="auto"/>
        <w:right w:val="none" w:sz="0" w:space="0" w:color="auto"/>
      </w:divBdr>
      <w:divsChild>
        <w:div w:id="1121538393">
          <w:marLeft w:val="0"/>
          <w:marRight w:val="0"/>
          <w:marTop w:val="120"/>
          <w:marBottom w:val="120"/>
          <w:divBdr>
            <w:top w:val="none" w:sz="0" w:space="0" w:color="auto"/>
            <w:left w:val="none" w:sz="0" w:space="0" w:color="auto"/>
            <w:bottom w:val="none" w:sz="0" w:space="0" w:color="auto"/>
            <w:right w:val="none" w:sz="0" w:space="0" w:color="auto"/>
          </w:divBdr>
        </w:div>
        <w:div w:id="1470856401">
          <w:marLeft w:val="0"/>
          <w:marRight w:val="0"/>
          <w:marTop w:val="120"/>
          <w:marBottom w:val="120"/>
          <w:divBdr>
            <w:top w:val="none" w:sz="0" w:space="0" w:color="auto"/>
            <w:left w:val="none" w:sz="0" w:space="0" w:color="auto"/>
            <w:bottom w:val="none" w:sz="0" w:space="0" w:color="auto"/>
            <w:right w:val="none" w:sz="0" w:space="0" w:color="auto"/>
          </w:divBdr>
        </w:div>
        <w:div w:id="2020040830">
          <w:marLeft w:val="0"/>
          <w:marRight w:val="0"/>
          <w:marTop w:val="120"/>
          <w:marBottom w:val="120"/>
          <w:divBdr>
            <w:top w:val="none" w:sz="0" w:space="0" w:color="auto"/>
            <w:left w:val="none" w:sz="0" w:space="0" w:color="auto"/>
            <w:bottom w:val="none" w:sz="0" w:space="0" w:color="auto"/>
            <w:right w:val="none" w:sz="0" w:space="0" w:color="auto"/>
          </w:divBdr>
        </w:div>
        <w:div w:id="182670380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14</Pages>
  <Words>6923</Words>
  <Characters>39465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cp:revision>
  <dcterms:created xsi:type="dcterms:W3CDTF">2026-04-30T12:21:00Z</dcterms:created>
  <dcterms:modified xsi:type="dcterms:W3CDTF">2026-04-30T22:11:00Z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id="nKGwqoJ1"/&gt;&lt;style id="http://www.zotero.org/styles/apa" locale="en-US" hasBibliography="1" bibliographyStyleHasBeenSet="1"/&gt;&lt;prefs&gt;&lt;pref name="fieldType" value="Field"/&gt;&lt;/prefs&gt;&lt;/data&gt;</vt:lpwstr>
  </property>
</Properties>
</file>