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AB088" w14:textId="77777777" w:rsidR="00C21201" w:rsidRPr="009A22FA" w:rsidRDefault="002E7551">
      <w:pPr>
        <w:jc w:val="center"/>
        <w:rPr>
          <w:rFonts w:ascii="Times New Roman" w:hAnsi="Times New Roman" w:cs="Times New Roman"/>
          <w:color w:val="000000" w:themeColor="text1"/>
          <w:sz w:val="24"/>
          <w:szCs w:val="24"/>
        </w:rPr>
      </w:pPr>
      <w:bookmarkStart w:id="0" w:name="_GoBack"/>
      <w:bookmarkEnd w:id="0"/>
      <w:r w:rsidRPr="009A22FA">
        <w:rPr>
          <w:rFonts w:ascii="Times New Roman" w:hAnsi="Times New Roman" w:cs="Times New Roman"/>
          <w:b/>
          <w:bCs/>
          <w:color w:val="000000" w:themeColor="text1"/>
          <w:sz w:val="24"/>
          <w:szCs w:val="24"/>
        </w:rPr>
        <w:t>PART 2: THE BOUNCER TRAINING MANUAL</w:t>
      </w:r>
    </w:p>
    <w:p w14:paraId="7EE33488" w14:textId="77777777" w:rsidR="00C21201" w:rsidRPr="009A22FA" w:rsidRDefault="00C21201">
      <w:pPr>
        <w:rPr>
          <w:rFonts w:ascii="Times New Roman" w:hAnsi="Times New Roman" w:cs="Times New Roman"/>
          <w:color w:val="000000" w:themeColor="text1"/>
          <w:sz w:val="24"/>
          <w:szCs w:val="24"/>
        </w:rPr>
      </w:pPr>
    </w:p>
    <w:p w14:paraId="6D635185" w14:textId="77777777" w:rsidR="00C21201" w:rsidRPr="009A22FA" w:rsidRDefault="002E7551">
      <w:pPr>
        <w:pStyle w:val="Heading1"/>
        <w:rPr>
          <w:rFonts w:ascii="Times New Roman" w:hAnsi="Times New Roman" w:cs="Times New Roman"/>
          <w:color w:val="000000" w:themeColor="text1"/>
          <w:sz w:val="24"/>
          <w:szCs w:val="24"/>
        </w:rPr>
      </w:pPr>
      <w:r w:rsidRPr="009A22FA">
        <w:rPr>
          <w:rFonts w:ascii="Times New Roman" w:hAnsi="Times New Roman" w:cs="Times New Roman"/>
          <w:color w:val="000000" w:themeColor="text1"/>
          <w:sz w:val="24"/>
          <w:szCs w:val="24"/>
        </w:rPr>
        <w:t>SECTION 2A — TACTICAL REVIEW: The Elite Security Units</w:t>
      </w:r>
    </w:p>
    <w:p w14:paraId="163B4EEF" w14:textId="77777777" w:rsidR="00C21201" w:rsidRPr="009A22FA" w:rsidRDefault="0083458F" w:rsidP="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t>The Adaptive Immune System is triggered when pathogens invade the body, and innate defenses are activated. In contrast to the innate immunity, adaptive immunity is specific - it gets to know the unique identity signs (antigens) of each pathogen and develops permanent memory to them. Two elite lymphocyte units head this response:</w:t>
      </w:r>
    </w:p>
    <w:p w14:paraId="7C4FE4C9" w14:textId="77777777" w:rsidR="00C21201" w:rsidRDefault="00C21201">
      <w:pPr>
        <w:rPr>
          <w:rFonts w:ascii="Times New Roman" w:hAnsi="Times New Roman" w:cs="Times New Roman"/>
          <w:color w:val="000000" w:themeColor="text1"/>
          <w:sz w:val="24"/>
          <w:szCs w:val="24"/>
        </w:rPr>
      </w:pPr>
    </w:p>
    <w:p w14:paraId="2008FB8B" w14:textId="77777777" w:rsidR="0083458F" w:rsidRDefault="0083458F">
      <w:pPr>
        <w:rPr>
          <w:rFonts w:ascii="Times New Roman" w:hAnsi="Times New Roman" w:cs="Times New Roman"/>
          <w:color w:val="000000" w:themeColor="text1"/>
          <w:sz w:val="24"/>
          <w:szCs w:val="24"/>
        </w:rPr>
      </w:pPr>
    </w:p>
    <w:p w14:paraId="13A6B52D" w14:textId="77777777" w:rsidR="00C21201" w:rsidRPr="009A22FA" w:rsidRDefault="0083458F">
      <w:pPr>
        <w:rPr>
          <w:rFonts w:ascii="Times New Roman" w:hAnsi="Times New Roman" w:cs="Times New Roman"/>
          <w:color w:val="000000" w:themeColor="text1"/>
          <w:sz w:val="24"/>
          <w:szCs w:val="24"/>
        </w:rPr>
      </w:pPr>
      <w:r w:rsidRPr="0083458F">
        <w:rPr>
          <w:rFonts w:ascii="Times New Roman" w:hAnsi="Times New Roman" w:cs="Times New Roman"/>
          <w:noProof/>
          <w:color w:val="000000" w:themeColor="text1"/>
          <w:sz w:val="24"/>
          <w:szCs w:val="24"/>
        </w:rPr>
        <w:drawing>
          <wp:inline distT="0" distB="0" distL="0" distR="0" wp14:anchorId="3A2A45AE" wp14:editId="02BFFC68">
            <wp:extent cx="5943600"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478530"/>
                    </a:xfrm>
                    <a:prstGeom prst="rect">
                      <a:avLst/>
                    </a:prstGeom>
                  </pic:spPr>
                </pic:pic>
              </a:graphicData>
            </a:graphic>
          </wp:inline>
        </w:drawing>
      </w:r>
    </w:p>
    <w:p w14:paraId="7D81433B" w14:textId="77777777" w:rsidR="00C21201" w:rsidRPr="009A22FA" w:rsidRDefault="002E7551">
      <w:pPr>
        <w:pStyle w:val="Heading1"/>
        <w:rPr>
          <w:rFonts w:ascii="Times New Roman" w:hAnsi="Times New Roman" w:cs="Times New Roman"/>
          <w:color w:val="000000" w:themeColor="text1"/>
          <w:sz w:val="24"/>
          <w:szCs w:val="24"/>
        </w:rPr>
      </w:pPr>
      <w:r w:rsidRPr="009A22FA">
        <w:rPr>
          <w:rFonts w:ascii="Times New Roman" w:hAnsi="Times New Roman" w:cs="Times New Roman"/>
          <w:color w:val="000000" w:themeColor="text1"/>
          <w:sz w:val="24"/>
          <w:szCs w:val="24"/>
        </w:rPr>
        <w:t>SECTION 2B — VISUAL FLOWCHART: Secondary Line of Defense</w:t>
      </w:r>
    </w:p>
    <w:p w14:paraId="62FD1E00" w14:textId="77777777" w:rsidR="00C21201" w:rsidRDefault="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t>The figure below illustrates the mechanisms of B cells (Humoral arm) and T cells (Cell-mediated arm) acting in parallel to eliminate a pathogen after it enters the body. The Memory cells are on file permanently in both arms:</w:t>
      </w:r>
    </w:p>
    <w:p w14:paraId="2374D1AD" w14:textId="77777777" w:rsidR="0083458F" w:rsidRDefault="0083458F">
      <w:pPr>
        <w:rPr>
          <w:rFonts w:ascii="Times New Roman" w:hAnsi="Times New Roman" w:cs="Times New Roman"/>
          <w:color w:val="000000" w:themeColor="text1"/>
          <w:sz w:val="24"/>
          <w:szCs w:val="24"/>
        </w:rPr>
      </w:pPr>
    </w:p>
    <w:p w14:paraId="539C8DFF" w14:textId="77777777" w:rsidR="0083458F" w:rsidRDefault="0083458F">
      <w:pPr>
        <w:rPr>
          <w:rFonts w:ascii="Times New Roman" w:hAnsi="Times New Roman" w:cs="Times New Roman"/>
          <w:color w:val="000000" w:themeColor="text1"/>
          <w:sz w:val="24"/>
          <w:szCs w:val="24"/>
        </w:rPr>
      </w:pPr>
      <w:r w:rsidRPr="0083458F">
        <w:rPr>
          <w:rFonts w:ascii="Times New Roman" w:hAnsi="Times New Roman" w:cs="Times New Roman"/>
          <w:noProof/>
          <w:color w:val="000000" w:themeColor="text1"/>
          <w:sz w:val="24"/>
          <w:szCs w:val="24"/>
        </w:rPr>
        <w:lastRenderedPageBreak/>
        <w:drawing>
          <wp:inline distT="0" distB="0" distL="0" distR="0" wp14:anchorId="03A38E6E" wp14:editId="349BC92F">
            <wp:extent cx="5943600" cy="2861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861945"/>
                    </a:xfrm>
                    <a:prstGeom prst="rect">
                      <a:avLst/>
                    </a:prstGeom>
                  </pic:spPr>
                </pic:pic>
              </a:graphicData>
            </a:graphic>
          </wp:inline>
        </w:drawing>
      </w:r>
    </w:p>
    <w:p w14:paraId="380059A9" w14:textId="77777777" w:rsidR="0083458F" w:rsidRDefault="0083458F">
      <w:pPr>
        <w:rPr>
          <w:rFonts w:ascii="Times New Roman" w:hAnsi="Times New Roman" w:cs="Times New Roman"/>
          <w:color w:val="000000" w:themeColor="text1"/>
          <w:sz w:val="24"/>
          <w:szCs w:val="24"/>
        </w:rPr>
      </w:pPr>
    </w:p>
    <w:p w14:paraId="007C8310" w14:textId="77777777" w:rsidR="00C21201" w:rsidRPr="009A22FA" w:rsidRDefault="002E7551">
      <w:pPr>
        <w:pStyle w:val="Heading1"/>
        <w:rPr>
          <w:rFonts w:ascii="Times New Roman" w:hAnsi="Times New Roman" w:cs="Times New Roman"/>
          <w:color w:val="000000" w:themeColor="text1"/>
          <w:sz w:val="24"/>
          <w:szCs w:val="24"/>
        </w:rPr>
      </w:pPr>
      <w:r w:rsidRPr="009A22FA">
        <w:rPr>
          <w:rFonts w:ascii="Times New Roman" w:hAnsi="Times New Roman" w:cs="Times New Roman"/>
          <w:color w:val="000000" w:themeColor="text1"/>
          <w:sz w:val="24"/>
          <w:szCs w:val="24"/>
        </w:rPr>
        <w:t>SECTION 2C — WHY THE SECOND PERFORMANCE IS FASTER &amp; STRONGER</w:t>
      </w:r>
    </w:p>
    <w:p w14:paraId="43BCA80C" w14:textId="77777777" w:rsidR="00C21201" w:rsidRDefault="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t>Immunological memory is the most important innovation of adaptive immunity. The initial response to a pathogen (Primary Response) is slow - the body has to recognize the danger, starting with nothing. But Memory cells formed by that initial response enable the second contact (Secondary Response) to be virtually immediate:</w:t>
      </w:r>
    </w:p>
    <w:p w14:paraId="3787A6C8" w14:textId="77777777" w:rsidR="0083458F" w:rsidRDefault="0083458F">
      <w:pPr>
        <w:rPr>
          <w:rFonts w:ascii="Times New Roman" w:hAnsi="Times New Roman" w:cs="Times New Roman"/>
          <w:color w:val="000000" w:themeColor="text1"/>
          <w:sz w:val="24"/>
          <w:szCs w:val="24"/>
        </w:rPr>
      </w:pPr>
    </w:p>
    <w:p w14:paraId="6A162477" w14:textId="77777777" w:rsidR="0083458F" w:rsidRDefault="0083458F">
      <w:pPr>
        <w:rPr>
          <w:rFonts w:ascii="Times New Roman" w:hAnsi="Times New Roman" w:cs="Times New Roman"/>
          <w:color w:val="000000" w:themeColor="text1"/>
          <w:sz w:val="24"/>
          <w:szCs w:val="24"/>
        </w:rPr>
      </w:pPr>
      <w:r w:rsidRPr="0083458F">
        <w:rPr>
          <w:rFonts w:ascii="Times New Roman" w:hAnsi="Times New Roman" w:cs="Times New Roman"/>
          <w:noProof/>
          <w:color w:val="000000" w:themeColor="text1"/>
          <w:sz w:val="24"/>
          <w:szCs w:val="24"/>
        </w:rPr>
        <w:drawing>
          <wp:inline distT="0" distB="0" distL="0" distR="0" wp14:anchorId="1A8F8C66" wp14:editId="1009E87E">
            <wp:extent cx="5943600" cy="299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997200"/>
                    </a:xfrm>
                    <a:prstGeom prst="rect">
                      <a:avLst/>
                    </a:prstGeom>
                  </pic:spPr>
                </pic:pic>
              </a:graphicData>
            </a:graphic>
          </wp:inline>
        </w:drawing>
      </w:r>
    </w:p>
    <w:p w14:paraId="6E81D2F4" w14:textId="77777777" w:rsidR="0083458F" w:rsidRPr="009A22FA" w:rsidRDefault="0083458F">
      <w:pPr>
        <w:rPr>
          <w:rFonts w:ascii="Times New Roman" w:hAnsi="Times New Roman" w:cs="Times New Roman"/>
          <w:color w:val="000000" w:themeColor="text1"/>
          <w:sz w:val="24"/>
          <w:szCs w:val="24"/>
        </w:rPr>
      </w:pPr>
    </w:p>
    <w:p w14:paraId="0586BFCC" w14:textId="77777777" w:rsidR="00C21201" w:rsidRPr="009A22FA" w:rsidRDefault="00C21201">
      <w:pPr>
        <w:rPr>
          <w:rFonts w:ascii="Times New Roman" w:hAnsi="Times New Roman" w:cs="Times New Roman"/>
          <w:color w:val="000000" w:themeColor="text1"/>
          <w:sz w:val="24"/>
          <w:szCs w:val="24"/>
        </w:rPr>
      </w:pPr>
    </w:p>
    <w:p w14:paraId="1D78B0FB" w14:textId="77777777" w:rsidR="00C21201" w:rsidRPr="009A22FA" w:rsidRDefault="002E7551">
      <w:pPr>
        <w:rPr>
          <w:rFonts w:ascii="Times New Roman" w:hAnsi="Times New Roman" w:cs="Times New Roman"/>
          <w:color w:val="000000" w:themeColor="text1"/>
          <w:sz w:val="24"/>
          <w:szCs w:val="24"/>
        </w:rPr>
      </w:pPr>
      <w:r w:rsidRPr="009A22FA">
        <w:rPr>
          <w:rFonts w:ascii="Times New Roman" w:hAnsi="Times New Roman" w:cs="Times New Roman"/>
          <w:b/>
          <w:bCs/>
          <w:i/>
          <w:iCs/>
          <w:color w:val="000000" w:themeColor="text1"/>
          <w:sz w:val="24"/>
          <w:szCs w:val="24"/>
        </w:rPr>
        <w:t xml:space="preserve">Vaccine Logic: </w:t>
      </w:r>
      <w:r w:rsidR="0083458F" w:rsidRPr="0083458F">
        <w:rPr>
          <w:rFonts w:ascii="Times New Roman" w:hAnsi="Times New Roman" w:cs="Times New Roman"/>
          <w:b/>
          <w:bCs/>
          <w:i/>
          <w:iCs/>
          <w:color w:val="000000" w:themeColor="text1"/>
          <w:sz w:val="24"/>
          <w:szCs w:val="24"/>
        </w:rPr>
        <w:t>A flu shot has attenuated/ killed viral antigens. This provokes the Primary Response without being sick, forming Memory cells. When the actual virus enters later, the body initiates an instant Secondary Response, which overpowers the virus before you get ill.</w:t>
      </w:r>
    </w:p>
    <w:sectPr w:rsidR="00C21201" w:rsidRPr="009A22F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0583B"/>
    <w:multiLevelType w:val="hybridMultilevel"/>
    <w:tmpl w:val="40345E8C"/>
    <w:lvl w:ilvl="0" w:tplc="8B9A31A2">
      <w:start w:val="1"/>
      <w:numFmt w:val="bullet"/>
      <w:lvlText w:val="●"/>
      <w:lvlJc w:val="left"/>
      <w:pPr>
        <w:ind w:left="720" w:hanging="360"/>
      </w:pPr>
    </w:lvl>
    <w:lvl w:ilvl="1" w:tplc="96F24CE6">
      <w:start w:val="1"/>
      <w:numFmt w:val="bullet"/>
      <w:lvlText w:val="○"/>
      <w:lvlJc w:val="left"/>
      <w:pPr>
        <w:ind w:left="1440" w:hanging="360"/>
      </w:pPr>
    </w:lvl>
    <w:lvl w:ilvl="2" w:tplc="AB0A3CEA">
      <w:start w:val="1"/>
      <w:numFmt w:val="bullet"/>
      <w:lvlText w:val="■"/>
      <w:lvlJc w:val="left"/>
      <w:pPr>
        <w:ind w:left="2160" w:hanging="360"/>
      </w:pPr>
    </w:lvl>
    <w:lvl w:ilvl="3" w:tplc="4BB26078">
      <w:start w:val="1"/>
      <w:numFmt w:val="bullet"/>
      <w:lvlText w:val="●"/>
      <w:lvlJc w:val="left"/>
      <w:pPr>
        <w:ind w:left="2880" w:hanging="360"/>
      </w:pPr>
    </w:lvl>
    <w:lvl w:ilvl="4" w:tplc="3D4882EE">
      <w:start w:val="1"/>
      <w:numFmt w:val="bullet"/>
      <w:lvlText w:val="○"/>
      <w:lvlJc w:val="left"/>
      <w:pPr>
        <w:ind w:left="3600" w:hanging="360"/>
      </w:pPr>
    </w:lvl>
    <w:lvl w:ilvl="5" w:tplc="5576E79C">
      <w:start w:val="1"/>
      <w:numFmt w:val="bullet"/>
      <w:lvlText w:val="■"/>
      <w:lvlJc w:val="left"/>
      <w:pPr>
        <w:ind w:left="4320" w:hanging="360"/>
      </w:pPr>
    </w:lvl>
    <w:lvl w:ilvl="6" w:tplc="0DF6DBB0">
      <w:start w:val="1"/>
      <w:numFmt w:val="bullet"/>
      <w:lvlText w:val="●"/>
      <w:lvlJc w:val="left"/>
      <w:pPr>
        <w:ind w:left="5040" w:hanging="360"/>
      </w:pPr>
    </w:lvl>
    <w:lvl w:ilvl="7" w:tplc="72942488">
      <w:start w:val="1"/>
      <w:numFmt w:val="bullet"/>
      <w:lvlText w:val="●"/>
      <w:lvlJc w:val="left"/>
      <w:pPr>
        <w:ind w:left="5760" w:hanging="360"/>
      </w:pPr>
    </w:lvl>
    <w:lvl w:ilvl="8" w:tplc="C164CE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wNDO3NDUzNjA0sLRU0lEKTi0uzszPAykwqgUAQTHD4CwAAAA="/>
  </w:docVars>
  <w:rsids>
    <w:rsidRoot w:val="00C21201"/>
    <w:rsid w:val="002E7551"/>
    <w:rsid w:val="003D1304"/>
    <w:rsid w:val="0083458F"/>
    <w:rsid w:val="009A22FA"/>
    <w:rsid w:val="00A70A2B"/>
    <w:rsid w:val="00B22528"/>
    <w:rsid w:val="00C21201"/>
    <w:rsid w:val="00FD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0F04"/>
  <w15:docId w15:val="{F949F603-A825-4F30-8CFE-6CA9CA38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80"/>
      <w:outlineLvl w:val="0"/>
    </w:pPr>
    <w:rPr>
      <w:b/>
      <w:bCs/>
      <w:color w:val="1A3A5C"/>
      <w:sz w:val="32"/>
      <w:szCs w:val="32"/>
    </w:rPr>
  </w:style>
  <w:style w:type="paragraph" w:styleId="Heading2">
    <w:name w:val="heading 2"/>
    <w:qFormat/>
    <w:pPr>
      <w:spacing w:before="240" w:after="120"/>
      <w:outlineLvl w:val="1"/>
    </w:pPr>
    <w:rPr>
      <w:b/>
      <w:bCs/>
      <w:color w:val="2E6DA4"/>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FD746D"/>
    <w:rPr>
      <w:sz w:val="16"/>
      <w:szCs w:val="16"/>
    </w:rPr>
  </w:style>
  <w:style w:type="paragraph" w:styleId="CommentText">
    <w:name w:val="annotation text"/>
    <w:basedOn w:val="Normal"/>
    <w:link w:val="CommentTextChar"/>
    <w:uiPriority w:val="99"/>
    <w:semiHidden/>
    <w:unhideWhenUsed/>
    <w:rsid w:val="00FD746D"/>
    <w:rPr>
      <w:sz w:val="20"/>
      <w:szCs w:val="20"/>
    </w:rPr>
  </w:style>
  <w:style w:type="character" w:customStyle="1" w:styleId="CommentTextChar">
    <w:name w:val="Comment Text Char"/>
    <w:basedOn w:val="DefaultParagraphFont"/>
    <w:link w:val="CommentText"/>
    <w:uiPriority w:val="99"/>
    <w:semiHidden/>
    <w:rsid w:val="00FD746D"/>
    <w:rPr>
      <w:sz w:val="20"/>
      <w:szCs w:val="20"/>
    </w:rPr>
  </w:style>
  <w:style w:type="paragraph" w:styleId="CommentSubject">
    <w:name w:val="annotation subject"/>
    <w:basedOn w:val="CommentText"/>
    <w:next w:val="CommentText"/>
    <w:link w:val="CommentSubjectChar"/>
    <w:uiPriority w:val="99"/>
    <w:semiHidden/>
    <w:unhideWhenUsed/>
    <w:rsid w:val="00FD746D"/>
    <w:rPr>
      <w:b/>
      <w:bCs/>
    </w:rPr>
  </w:style>
  <w:style w:type="character" w:customStyle="1" w:styleId="CommentSubjectChar">
    <w:name w:val="Comment Subject Char"/>
    <w:basedOn w:val="CommentTextChar"/>
    <w:link w:val="CommentSubject"/>
    <w:uiPriority w:val="99"/>
    <w:semiHidden/>
    <w:rsid w:val="00FD746D"/>
    <w:rPr>
      <w:b/>
      <w:bCs/>
      <w:sz w:val="20"/>
      <w:szCs w:val="20"/>
    </w:rPr>
  </w:style>
  <w:style w:type="paragraph" w:styleId="BalloonText">
    <w:name w:val="Balloon Text"/>
    <w:basedOn w:val="Normal"/>
    <w:link w:val="BalloonTextChar"/>
    <w:uiPriority w:val="99"/>
    <w:semiHidden/>
    <w:unhideWhenUsed/>
    <w:rsid w:val="00FD7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4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cp:lastModifiedBy>
  <cp:revision>2</cp:revision>
  <dcterms:created xsi:type="dcterms:W3CDTF">2026-05-02T19:03:00Z</dcterms:created>
  <dcterms:modified xsi:type="dcterms:W3CDTF">2026-05-02T19:03:00Z</dcterms:modified>
</cp:coreProperties>
</file>