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353" w:rsidRDefault="00380D11" w:rsidP="00241D1C">
      <w:pPr>
        <w:spacing w:line="480" w:lineRule="auto"/>
      </w:pPr>
      <w:r>
        <w:t>Name of the Student</w:t>
      </w:r>
    </w:p>
    <w:p w:rsidR="00043353" w:rsidRDefault="00380D11" w:rsidP="00241D1C">
      <w:pPr>
        <w:spacing w:line="480" w:lineRule="auto"/>
      </w:pPr>
      <w:r>
        <w:t>Name of the Instructor</w:t>
      </w:r>
    </w:p>
    <w:p w:rsidR="00043353" w:rsidRDefault="00380D11" w:rsidP="00241D1C">
      <w:pPr>
        <w:spacing w:line="480" w:lineRule="auto"/>
      </w:pPr>
      <w:r>
        <w:t>Course Code</w:t>
      </w:r>
    </w:p>
    <w:p w:rsidR="00043353" w:rsidRDefault="00380D11" w:rsidP="00241D1C">
      <w:pPr>
        <w:spacing w:line="480" w:lineRule="auto"/>
      </w:pPr>
      <w:r>
        <w:t>Date</w:t>
      </w:r>
    </w:p>
    <w:p w:rsidR="00043353" w:rsidRDefault="00380D11" w:rsidP="00241D1C">
      <w:pPr>
        <w:spacing w:line="480" w:lineRule="auto"/>
        <w:jc w:val="center"/>
      </w:pPr>
      <w:r>
        <w:t>FDA and the American Red Cross</w:t>
      </w:r>
    </w:p>
    <w:p w:rsidR="00043353" w:rsidRDefault="00380D11" w:rsidP="00241D1C">
      <w:pPr>
        <w:spacing w:line="480" w:lineRule="auto"/>
        <w:ind w:firstLine="720"/>
      </w:pPr>
      <w:r>
        <w:t>A patient could survive a transfusion after surgery back</w:t>
      </w:r>
      <w:bookmarkStart w:id="0" w:name="_GoBack"/>
      <w:bookmarkEnd w:id="0"/>
      <w:r>
        <w:t xml:space="preserve"> in 1983, but still face a silent threat because hospitals were not yet able to screen donated blood against HIV. With the rise of AIDS, the United States was forced to face a harsh reality that the blood supply could n</w:t>
      </w:r>
      <w:r w:rsidR="00182066">
        <w:t xml:space="preserve">ot be made safe based on </w:t>
      </w:r>
      <w:r>
        <w:t>questioning alone. The policymakers and blood organizations had to redesign the way blood was collected, tested, and released for use. These choices were important beyond medicine. They determined whether patients believed transfusions to be safe or not, whether donors felt respected by the rules or not, and whether institutions could keep sufficient blood supplies when needed in case of emergency. Opponents of liberalization of older restrictions fear that broad exclusion breeds stigma and fails to recognize modern science, whereas those favoring liberalization believe that broad exclusion creates stigma and overlooks modern science. Although critics claim that changing the restrictions of donors can increase HIV risks, evidence-based surveillance and behavior-based screening help to safeguard the recipients and moderni</w:t>
      </w:r>
      <w:r w:rsidR="00182066">
        <w:t>ze the eligibility because AIDS-</w:t>
      </w:r>
      <w:r>
        <w:t>driven reforms created mandatory HIV safety controls, stricter federal oversight, and individual risk assessment.</w:t>
      </w:r>
    </w:p>
    <w:p w:rsidR="00043353" w:rsidRDefault="00380D11" w:rsidP="00241D1C">
      <w:pPr>
        <w:spacing w:line="480" w:lineRule="auto"/>
        <w:ind w:firstLine="720"/>
      </w:pPr>
      <w:r>
        <w:t xml:space="preserve">AIDS made the blood policy define HIV safety as a necessary state of collection and distribution. An early uncertainty was centralized mandatory screening. According to the Washington Post, the Food and Drug Administration </w:t>
      </w:r>
      <w:r w:rsidR="00182066">
        <w:t xml:space="preserve">(FDA) </w:t>
      </w:r>
      <w:r>
        <w:t xml:space="preserve">did not approve an HIV blood screening test until April 1985 (Herman 1). This reveals the reason why subsequent policies </w:t>
      </w:r>
      <w:r>
        <w:lastRenderedPageBreak/>
        <w:t>considered testing to be the initial obstacle to usable blood. In addition, safety is based on multiple layers of protection. Custer and colleagues elaborate that donation testing has developed into sensitive nucleic acid testing and that policy should be taken into account in relation to the current realities of testing and prevention (2). This implies that eligibility rules and laboratory screening work together. Moreover, deferrals are still required when detection might be postponed. According to Miller et al., deferrals are used to administer oral and injectable PrEP, as prophylactic medications can delay progression of infection (2). This proves that compulsory safety is a mix of testing with specific eligibility regulations. Therefore, AIDS motivated the enforcement of a more rigorous screening system for distributed blood.</w:t>
      </w:r>
    </w:p>
    <w:p w:rsidR="00043353" w:rsidRDefault="00380D11" w:rsidP="00241D1C">
      <w:pPr>
        <w:spacing w:line="480" w:lineRule="auto"/>
        <w:ind w:firstLine="720"/>
      </w:pPr>
      <w:r>
        <w:t>In addition, AIDS increased federal regulation by providing the FDA with a more significant role in establishing consistent regulations and verifying results. Guidance created time-based deferrals, which were put in place by blood centers. Grebe and colleagues explain the deferred changes to men who have sex with men between indefinite and twelve months in 2016 and then to three months in 2020 under FDA guidance (835). This demonstrates federal cont</w:t>
      </w:r>
      <w:r w:rsidR="00182066">
        <w:t>rol standardizing practice. Additionally</w:t>
      </w:r>
      <w:r>
        <w:t>, surveillance involved national surveillance. TTIMS is used to monitor transfusion-transmissible infections and to measure incidence as a proxy for residual risk (Grebe et al. 835). This implies that supervision became quantifiable. Lastly, TTIMS monitoring indicated that no incidence of HIV in first-time donors was increased by shortening the deferral period, which supports the safety of the policy changes. Grebe and colleagues report no change in first-time donor HIV incidence between 2015 and 2023 and no evidence of an increased residual transfusion-transmitted HIV risk with shorter deferral periods (835). This implies that the safety question was answered via surveillance, since there was no evidence of an increase in residual risk with the reduced deferral period. Thus, the AIDS bound blood policy was tied to federal instructions as well as monitoring.</w:t>
      </w:r>
    </w:p>
    <w:p w:rsidR="00043353" w:rsidRDefault="00380D11" w:rsidP="00241D1C">
      <w:pPr>
        <w:spacing w:line="480" w:lineRule="auto"/>
        <w:ind w:firstLine="720"/>
      </w:pPr>
      <w:r>
        <w:t>Moreover, the AIDS generation constraints had turned into personalized risk evaluation that approaches risk in behavior more directly than the identity labels. The FDA has embraced a universal set of questions. All donors are asked about any new or multiple partners in the last three months and then about anal sex with deferral to those who report both (Miller et al. 1). This implies that the three-month window is meant to be similar to the recent exposure timing, and the screening rule is the focus on recent higher-risk behavior that may influence blood safety. Similarly, studies show that these questions can be used to determine that MSM groups have lower-risk donors. According to Custer and colleagues, 313 of 1278 participants (24.5%) may qualify as donors under the combined eligibility criteria (6). This indicates that the former policy was a broad net since the study had a measurable subgroup, 24.5 percent of respondents, who could meet the co</w:t>
      </w:r>
      <w:r w:rsidR="00182066">
        <w:t>mbined eligibility criteria. Additionally</w:t>
      </w:r>
      <w:r>
        <w:t xml:space="preserve">, the model forecasts minimal donor loss. According </w:t>
      </w:r>
      <w:r w:rsidR="000C4C4C">
        <w:t>to estimates by Whitaker and</w:t>
      </w:r>
      <w:r w:rsidR="00182066">
        <w:t xml:space="preserve"> colleagues, 1.2</w:t>
      </w:r>
      <w:r>
        <w:t xml:space="preserve"> percent of the donors in the United States would be defrauded under individual assessment of HIV risk (1). This shows that broadening of eligibility can be found to coexist with a stable supply. Therefore, individualized assessment transformed eligibility and retained risk control.</w:t>
      </w:r>
    </w:p>
    <w:p w:rsidR="00043353" w:rsidRDefault="00380D11" w:rsidP="00241D1C">
      <w:pPr>
        <w:spacing w:line="480" w:lineRule="auto"/>
        <w:ind w:firstLine="720"/>
      </w:pPr>
      <w:r>
        <w:t xml:space="preserve">Nevertheless, critics state that reforms can cause more risk or still be unfair, particularly to donors who use HIV prevention. Critics emphasize that </w:t>
      </w:r>
      <w:r w:rsidR="00182066">
        <w:t>policy changes</w:t>
      </w:r>
      <w:r>
        <w:t xml:space="preserve"> may influence the risk of infection. According to Grebe and colleagues, one should evaluate whether changes in policies influence the risk of transfusion-transmissible infection, such as HIV (835). This demonstrates that opponents present the matter as a safety issue that should be tested using outcome data, rather than preconceived notions. Additionally, some critics say that PrEP deferral undermines inclusion. Factora has been criticized because the inclusion of PrEP users in the process means that fewer men who have sex with men can be eligible to donate (3). This means that even inclusive reforms may still be experienced as exclusionary when prevention behav</w:t>
      </w:r>
      <w:r w:rsidR="00182066">
        <w:t>ior is used to defer. Additionally</w:t>
      </w:r>
      <w:r>
        <w:t>, stigma influences the social response. According to Kaiser, early reporting contained fake news items like no evidence of contagion and no apparent threat to non-homosexuals (2). This implies that historical misinformation continues to affect current arguments by shaping public perceptions of whom they consider risky. Therefore, critics consider reform to be unsafe to transfusion safety and incomplete to include, particularly when PrEP users are deferred.</w:t>
      </w:r>
    </w:p>
    <w:p w:rsidR="00043353" w:rsidRDefault="00380D11" w:rsidP="00241D1C">
      <w:pPr>
        <w:spacing w:line="480" w:lineRule="auto"/>
        <w:ind w:firstLine="720"/>
      </w:pPr>
      <w:r>
        <w:t>The opponents have a valid argument; however, surveillance, modeling, and behavioral studies favor reform as being safer and more precise than blanket exclusions. Therefore, the safety has to be assessed in terms of the incidence following the change. Grebe et al. note no change in first-time donor HIV incidence between 2015 and 2023 and no evidence of an increase in residual transfusion-transmitted HIV risk with decreasing deferrals (835). This demonstrates that outcomes do not match worst-case fears. Furthermore, shortage issues are undermined when the expected deferral rates are minimal. This means that there will be a manageable influence on availability. Moreover, lower-risk donors can also be fairly identified by using individualized questions. Custer and colleagues find that the questions can detect HIV negative men who have sex with men who report having lower-risk behaviors (2). This demonstrates why behavior-focused screening can minimize unnecessary exclusion and postpone higher-risk situations. Therefore, the surveillance of reform leads to safety evidence being matched by fairness objectives.</w:t>
      </w:r>
    </w:p>
    <w:p w:rsidR="00043353" w:rsidRDefault="00380D11" w:rsidP="00241D1C">
      <w:pPr>
        <w:spacing w:line="480" w:lineRule="auto"/>
        <w:ind w:firstLine="720"/>
      </w:pPr>
      <w:r>
        <w:t>To sum up, AIDS overturned the American blood system, making HIV protection a compulsory requirement in the collection and distribution of blood. The answer was not a one-rule response but a stratified arrangement. The use of mandatory screening and specific deferrals enhanced the possibility that blood released to undergo transfusion would be free of infection. Federal regulations also increased, as national guidance and monitoring programs enabled assessment of whether the policy changes actually affected safety. Simultaneously, eligibility policies shifted their exclusion criteria from broad identity-based criteria to individualized risk assessment focused on behaviors related to transmission pathways. This change is important because it may move some donors to a higher eligibility level while still filtering out more dangerous circumstances, which supports both safety and supply. Nonetheless, there is still fragility in the population's trust when rules seem confusing and uneven. In the future, continued surveillance, careful adjustment, and clear explanation will determine whether the system remains both scientifically reliable and socially credible.</w:t>
      </w:r>
    </w:p>
    <w:p w:rsidR="00241D1C" w:rsidRDefault="00241D1C">
      <w:r>
        <w:br w:type="page"/>
      </w:r>
    </w:p>
    <w:p w:rsidR="00241D1C" w:rsidRDefault="00241D1C" w:rsidP="00241D1C">
      <w:pPr>
        <w:spacing w:line="480" w:lineRule="auto"/>
        <w:jc w:val="center"/>
      </w:pPr>
      <w:r w:rsidRPr="00241D1C">
        <w:t>Works Cited</w:t>
      </w:r>
    </w:p>
    <w:p w:rsidR="00241D1C" w:rsidRDefault="00241D1C" w:rsidP="00241D1C">
      <w:pPr>
        <w:spacing w:line="480" w:lineRule="auto"/>
        <w:ind w:left="720" w:hanging="720"/>
      </w:pPr>
      <w:r>
        <w:t xml:space="preserve">Custer, Brian, et al. “HIV Risk Behavior Profiles Among Men Who Have Sex with Men Interested in Donating Blood: Findings from the Assessing Donor Variability and New Concepts in Eligibility (ADVANCE) Study.” </w:t>
      </w:r>
      <w:r>
        <w:rPr>
          <w:i/>
          <w:iCs/>
        </w:rPr>
        <w:t>Transfusion</w:t>
      </w:r>
      <w:r>
        <w:t xml:space="preserve">, vol. 63, no. 10, Oct. 2023, pp. 1872–84. </w:t>
      </w:r>
      <w:r>
        <w:rPr>
          <w:i/>
          <w:iCs/>
        </w:rPr>
        <w:t>PubMed Central</w:t>
      </w:r>
      <w:r>
        <w:t xml:space="preserve">, </w:t>
      </w:r>
      <w:hyperlink r:id="rId6" w:history="1">
        <w:r>
          <w:rPr>
            <w:rStyle w:val="Hyperlink"/>
          </w:rPr>
          <w:t>https://doi.org/10.1111/trf.17515</w:t>
        </w:r>
      </w:hyperlink>
      <w:r>
        <w:t>.</w:t>
      </w:r>
    </w:p>
    <w:p w:rsidR="00241D1C" w:rsidRDefault="00241D1C" w:rsidP="00241D1C">
      <w:pPr>
        <w:spacing w:line="480" w:lineRule="auto"/>
        <w:ind w:left="720" w:hanging="720"/>
      </w:pPr>
      <w:r>
        <w:t xml:space="preserve">Factora, James. “American Red Cross Blood Donation: Is Its New Policy More LGBTQ+ Inclusive? | Them.” </w:t>
      </w:r>
      <w:r>
        <w:rPr>
          <w:i/>
          <w:iCs/>
        </w:rPr>
        <w:t>Them</w:t>
      </w:r>
      <w:r>
        <w:t xml:space="preserve">, 8 Aug. 2023, </w:t>
      </w:r>
      <w:hyperlink r:id="rId7" w:history="1">
        <w:r>
          <w:rPr>
            <w:rStyle w:val="Hyperlink"/>
          </w:rPr>
          <w:t>https://www.them.us/story/red-cross-msm-blood-ban-new-policy</w:t>
        </w:r>
      </w:hyperlink>
      <w:r>
        <w:t>.</w:t>
      </w:r>
    </w:p>
    <w:p w:rsidR="00241D1C" w:rsidRDefault="00241D1C" w:rsidP="00241D1C">
      <w:pPr>
        <w:spacing w:line="480" w:lineRule="auto"/>
        <w:ind w:left="720" w:hanging="720"/>
      </w:pPr>
      <w:r>
        <w:t xml:space="preserve">Grebe, Eduard, et al. “HIV Incidence in US First-Time Blood Donors during 12 and 3 Month Deferral Policy Periods between 2015 and 2023 before Implementation of Individual Donor Assessment.” </w:t>
      </w:r>
      <w:r>
        <w:rPr>
          <w:i/>
          <w:iCs/>
        </w:rPr>
        <w:t>Transfusion</w:t>
      </w:r>
      <w:r>
        <w:t xml:space="preserve">, vol. 65, no. 5, 2025, pp. 834–40. </w:t>
      </w:r>
      <w:r>
        <w:rPr>
          <w:i/>
          <w:iCs/>
        </w:rPr>
        <w:t>Wiley Online Library</w:t>
      </w:r>
      <w:r>
        <w:t xml:space="preserve">, </w:t>
      </w:r>
      <w:hyperlink r:id="rId8" w:history="1">
        <w:r>
          <w:rPr>
            <w:rStyle w:val="Hyperlink"/>
          </w:rPr>
          <w:t>https://doi.org/10.1111/trf.18195</w:t>
        </w:r>
      </w:hyperlink>
      <w:r>
        <w:t>.</w:t>
      </w:r>
    </w:p>
    <w:p w:rsidR="00241D1C" w:rsidRDefault="00241D1C" w:rsidP="00241D1C">
      <w:pPr>
        <w:spacing w:line="480" w:lineRule="auto"/>
        <w:ind w:left="720" w:hanging="720"/>
      </w:pPr>
      <w:r>
        <w:t xml:space="preserve">Herman, Robin. “In 1983, HIV Blood Screening Was Nonexistent.” </w:t>
      </w:r>
      <w:r>
        <w:rPr>
          <w:i/>
          <w:iCs/>
        </w:rPr>
        <w:t>The Washington Post</w:t>
      </w:r>
      <w:r>
        <w:t xml:space="preserve">, 9 Apr. 1992. </w:t>
      </w:r>
      <w:r>
        <w:rPr>
          <w:i/>
          <w:iCs/>
        </w:rPr>
        <w:t>www.washingtonpost.com</w:t>
      </w:r>
      <w:r>
        <w:t xml:space="preserve">, </w:t>
      </w:r>
      <w:hyperlink r:id="rId9" w:history="1">
        <w:r>
          <w:rPr>
            <w:rStyle w:val="Hyperlink"/>
          </w:rPr>
          <w:t>https://www.washingtonpost.com/archive/politics/1992/04/09/in-1983-hiv-blood-screening-was-nonexistent/02f1b98e-710d-4c94-8e2d-9ce5094d2f2e/</w:t>
        </w:r>
      </w:hyperlink>
      <w:r>
        <w:t>.</w:t>
      </w:r>
    </w:p>
    <w:p w:rsidR="00241D1C" w:rsidRDefault="00241D1C" w:rsidP="00241D1C">
      <w:pPr>
        <w:spacing w:line="480" w:lineRule="auto"/>
        <w:ind w:left="720" w:hanging="720"/>
      </w:pPr>
      <w:r>
        <w:t xml:space="preserve">Kaiser, Charles. “‘Rather Devastating’: How the New York Times Came to Terms with Aids.” </w:t>
      </w:r>
      <w:r>
        <w:rPr>
          <w:i/>
          <w:iCs/>
        </w:rPr>
        <w:t>The Guardian</w:t>
      </w:r>
      <w:r>
        <w:t xml:space="preserve">, 26 Sept. 2023. World News. </w:t>
      </w:r>
      <w:r>
        <w:rPr>
          <w:i/>
          <w:iCs/>
        </w:rPr>
        <w:t>The Guardian</w:t>
      </w:r>
      <w:r>
        <w:t xml:space="preserve">, </w:t>
      </w:r>
      <w:hyperlink r:id="rId10" w:history="1">
        <w:r>
          <w:rPr>
            <w:rStyle w:val="Hyperlink"/>
          </w:rPr>
          <w:t>https://www.theguardian.com/world/2023/sep/26/new-york-times-aids-gay-rights</w:t>
        </w:r>
      </w:hyperlink>
      <w:r>
        <w:t>.</w:t>
      </w:r>
    </w:p>
    <w:p w:rsidR="00241D1C" w:rsidRDefault="00241D1C" w:rsidP="00241D1C">
      <w:pPr>
        <w:spacing w:line="480" w:lineRule="auto"/>
        <w:ind w:left="720" w:hanging="720"/>
      </w:pPr>
      <w:r>
        <w:t xml:space="preserve">Miller, Amitai S., et al. “FDA’s 2023 Policy Update—Promoting Safety and Inclusivity in Blood Donation.” </w:t>
      </w:r>
      <w:r>
        <w:rPr>
          <w:i/>
          <w:iCs/>
        </w:rPr>
        <w:t>JAMA Health Forum</w:t>
      </w:r>
      <w:r>
        <w:t xml:space="preserve">, vol. 4, no. 8, Aug. 2023, p. e232388. </w:t>
      </w:r>
      <w:r>
        <w:rPr>
          <w:i/>
          <w:iCs/>
        </w:rPr>
        <w:t>Silverchair</w:t>
      </w:r>
      <w:r>
        <w:t xml:space="preserve">, </w:t>
      </w:r>
      <w:hyperlink r:id="rId11" w:history="1">
        <w:r>
          <w:rPr>
            <w:rStyle w:val="Hyperlink"/>
          </w:rPr>
          <w:t>https://doi.org/10.1001/jamahealthforum.2023.2388</w:t>
        </w:r>
      </w:hyperlink>
      <w:r>
        <w:t>.</w:t>
      </w:r>
    </w:p>
    <w:p w:rsidR="00241D1C" w:rsidRDefault="00241D1C" w:rsidP="00241D1C">
      <w:pPr>
        <w:spacing w:line="480" w:lineRule="auto"/>
        <w:ind w:left="720" w:hanging="720"/>
      </w:pPr>
      <w:r>
        <w:t xml:space="preserve">Whitaker, Barbee, et al. “Modeling U.S. Blood Donor Deferrals Under a Policy of Individual Risk Assessment for HIV-Risk Sexual Behavior.” </w:t>
      </w:r>
      <w:r>
        <w:rPr>
          <w:i/>
          <w:iCs/>
        </w:rPr>
        <w:t>Transfusion</w:t>
      </w:r>
      <w:r>
        <w:t xml:space="preserve">, vol. 64, no. 8, Aug. 2024, pp. 1459–68. </w:t>
      </w:r>
      <w:r>
        <w:rPr>
          <w:i/>
          <w:iCs/>
        </w:rPr>
        <w:t>PubMed Central</w:t>
      </w:r>
      <w:r>
        <w:t xml:space="preserve">, </w:t>
      </w:r>
      <w:hyperlink r:id="rId12" w:history="1">
        <w:r>
          <w:rPr>
            <w:rStyle w:val="Hyperlink"/>
          </w:rPr>
          <w:t>https://doi.org/10.1111/trf.17916</w:t>
        </w:r>
      </w:hyperlink>
      <w:r>
        <w:t>.</w:t>
      </w:r>
    </w:p>
    <w:p w:rsidR="00241D1C" w:rsidRPr="00241D1C" w:rsidRDefault="00241D1C" w:rsidP="00241D1C">
      <w:pPr>
        <w:spacing w:line="480" w:lineRule="auto"/>
      </w:pPr>
    </w:p>
    <w:p w:rsidR="00043353" w:rsidRDefault="00043353" w:rsidP="00241D1C">
      <w:pPr>
        <w:spacing w:line="480" w:lineRule="auto"/>
        <w:ind w:firstLine="720"/>
      </w:pPr>
    </w:p>
    <w:sectPr w:rsidR="00043353">
      <w:head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5AC" w:rsidRDefault="007C05AC" w:rsidP="00241D1C">
      <w:r>
        <w:separator/>
      </w:r>
    </w:p>
  </w:endnote>
  <w:endnote w:type="continuationSeparator" w:id="0">
    <w:p w:rsidR="007C05AC" w:rsidRDefault="007C05AC" w:rsidP="0024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5AC" w:rsidRDefault="007C05AC" w:rsidP="00241D1C">
      <w:r>
        <w:separator/>
      </w:r>
    </w:p>
  </w:footnote>
  <w:footnote w:type="continuationSeparator" w:id="0">
    <w:p w:rsidR="007C05AC" w:rsidRDefault="007C05AC" w:rsidP="00241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1C" w:rsidRDefault="00241D1C">
    <w:pPr>
      <w:pStyle w:val="Header"/>
      <w:jc w:val="right"/>
    </w:pPr>
    <w:r>
      <w:t xml:space="preserve">Last Name </w:t>
    </w:r>
    <w:sdt>
      <w:sdtPr>
        <w:id w:val="5088018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C05AC">
          <w:rPr>
            <w:noProof/>
          </w:rPr>
          <w:t>1</w:t>
        </w:r>
        <w:r>
          <w:rPr>
            <w:noProof/>
          </w:rPr>
          <w:fldChar w:fldCharType="end"/>
        </w:r>
      </w:sdtContent>
    </w:sdt>
  </w:p>
  <w:p w:rsidR="00241D1C" w:rsidRDefault="00241D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IxMjWxsDQyNzMxtjBX0lEKTi0uzszPAykwrAUANNp3TSwAAAA="/>
  </w:docVars>
  <w:rsids>
    <w:rsidRoot w:val="00043353"/>
    <w:rsid w:val="00043353"/>
    <w:rsid w:val="000C4C4C"/>
    <w:rsid w:val="00182066"/>
    <w:rsid w:val="00241D1C"/>
    <w:rsid w:val="0026755B"/>
    <w:rsid w:val="00380D11"/>
    <w:rsid w:val="007C0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50806-D61C-483A-B917-1F6E654F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241D1C"/>
    <w:pPr>
      <w:tabs>
        <w:tab w:val="center" w:pos="4680"/>
        <w:tab w:val="right" w:pos="9360"/>
      </w:tabs>
    </w:pPr>
  </w:style>
  <w:style w:type="character" w:customStyle="1" w:styleId="HeaderChar">
    <w:name w:val="Header Char"/>
    <w:basedOn w:val="DefaultParagraphFont"/>
    <w:link w:val="Header"/>
    <w:uiPriority w:val="99"/>
    <w:rsid w:val="00241D1C"/>
    <w:rPr>
      <w:sz w:val="24"/>
      <w:szCs w:val="24"/>
    </w:rPr>
  </w:style>
  <w:style w:type="paragraph" w:styleId="Footer">
    <w:name w:val="footer"/>
    <w:basedOn w:val="Normal"/>
    <w:link w:val="FooterChar"/>
    <w:uiPriority w:val="99"/>
    <w:unhideWhenUsed/>
    <w:rsid w:val="00241D1C"/>
    <w:pPr>
      <w:tabs>
        <w:tab w:val="center" w:pos="4680"/>
        <w:tab w:val="right" w:pos="9360"/>
      </w:tabs>
    </w:pPr>
  </w:style>
  <w:style w:type="character" w:customStyle="1" w:styleId="FooterChar">
    <w:name w:val="Footer Char"/>
    <w:basedOn w:val="DefaultParagraphFont"/>
    <w:link w:val="Footer"/>
    <w:uiPriority w:val="99"/>
    <w:rsid w:val="00241D1C"/>
    <w:rPr>
      <w:sz w:val="24"/>
      <w:szCs w:val="24"/>
    </w:rPr>
  </w:style>
  <w:style w:type="character" w:styleId="Hyperlink">
    <w:name w:val="Hyperlink"/>
    <w:basedOn w:val="DefaultParagraphFont"/>
    <w:uiPriority w:val="99"/>
    <w:semiHidden/>
    <w:unhideWhenUsed/>
    <w:rsid w:val="00241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642679">
      <w:bodyDiv w:val="1"/>
      <w:marLeft w:val="0"/>
      <w:marRight w:val="0"/>
      <w:marTop w:val="0"/>
      <w:marBottom w:val="0"/>
      <w:divBdr>
        <w:top w:val="none" w:sz="0" w:space="0" w:color="auto"/>
        <w:left w:val="none" w:sz="0" w:space="0" w:color="auto"/>
        <w:bottom w:val="none" w:sz="0" w:space="0" w:color="auto"/>
        <w:right w:val="none" w:sz="0" w:space="0" w:color="auto"/>
      </w:divBdr>
      <w:divsChild>
        <w:div w:id="1616251435">
          <w:marLeft w:val="480"/>
          <w:marRight w:val="0"/>
          <w:marTop w:val="0"/>
          <w:marBottom w:val="0"/>
          <w:divBdr>
            <w:top w:val="none" w:sz="0" w:space="0" w:color="auto"/>
            <w:left w:val="none" w:sz="0" w:space="0" w:color="auto"/>
            <w:bottom w:val="none" w:sz="0" w:space="0" w:color="auto"/>
            <w:right w:val="none" w:sz="0" w:space="0" w:color="auto"/>
          </w:divBdr>
          <w:divsChild>
            <w:div w:id="862475766">
              <w:marLeft w:val="0"/>
              <w:marRight w:val="0"/>
              <w:marTop w:val="0"/>
              <w:marBottom w:val="0"/>
              <w:divBdr>
                <w:top w:val="none" w:sz="0" w:space="0" w:color="auto"/>
                <w:left w:val="none" w:sz="0" w:space="0" w:color="auto"/>
                <w:bottom w:val="none" w:sz="0" w:space="0" w:color="auto"/>
                <w:right w:val="none" w:sz="0" w:space="0" w:color="auto"/>
              </w:divBdr>
            </w:div>
            <w:div w:id="1584531392">
              <w:marLeft w:val="0"/>
              <w:marRight w:val="0"/>
              <w:marTop w:val="0"/>
              <w:marBottom w:val="0"/>
              <w:divBdr>
                <w:top w:val="none" w:sz="0" w:space="0" w:color="auto"/>
                <w:left w:val="none" w:sz="0" w:space="0" w:color="auto"/>
                <w:bottom w:val="none" w:sz="0" w:space="0" w:color="auto"/>
                <w:right w:val="none" w:sz="0" w:space="0" w:color="auto"/>
              </w:divBdr>
            </w:div>
            <w:div w:id="1270896216">
              <w:marLeft w:val="0"/>
              <w:marRight w:val="0"/>
              <w:marTop w:val="0"/>
              <w:marBottom w:val="0"/>
              <w:divBdr>
                <w:top w:val="none" w:sz="0" w:space="0" w:color="auto"/>
                <w:left w:val="none" w:sz="0" w:space="0" w:color="auto"/>
                <w:bottom w:val="none" w:sz="0" w:space="0" w:color="auto"/>
                <w:right w:val="none" w:sz="0" w:space="0" w:color="auto"/>
              </w:divBdr>
            </w:div>
            <w:div w:id="39019899">
              <w:marLeft w:val="0"/>
              <w:marRight w:val="0"/>
              <w:marTop w:val="0"/>
              <w:marBottom w:val="0"/>
              <w:divBdr>
                <w:top w:val="none" w:sz="0" w:space="0" w:color="auto"/>
                <w:left w:val="none" w:sz="0" w:space="0" w:color="auto"/>
                <w:bottom w:val="none" w:sz="0" w:space="0" w:color="auto"/>
                <w:right w:val="none" w:sz="0" w:space="0" w:color="auto"/>
              </w:divBdr>
            </w:div>
            <w:div w:id="1076516116">
              <w:marLeft w:val="0"/>
              <w:marRight w:val="0"/>
              <w:marTop w:val="0"/>
              <w:marBottom w:val="0"/>
              <w:divBdr>
                <w:top w:val="none" w:sz="0" w:space="0" w:color="auto"/>
                <w:left w:val="none" w:sz="0" w:space="0" w:color="auto"/>
                <w:bottom w:val="none" w:sz="0" w:space="0" w:color="auto"/>
                <w:right w:val="none" w:sz="0" w:space="0" w:color="auto"/>
              </w:divBdr>
            </w:div>
            <w:div w:id="1965890187">
              <w:marLeft w:val="0"/>
              <w:marRight w:val="0"/>
              <w:marTop w:val="0"/>
              <w:marBottom w:val="0"/>
              <w:divBdr>
                <w:top w:val="none" w:sz="0" w:space="0" w:color="auto"/>
                <w:left w:val="none" w:sz="0" w:space="0" w:color="auto"/>
                <w:bottom w:val="none" w:sz="0" w:space="0" w:color="auto"/>
                <w:right w:val="none" w:sz="0" w:space="0" w:color="auto"/>
              </w:divBdr>
            </w:div>
            <w:div w:id="11484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trf.18195"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hem.us/story/red-cross-msm-blood-ban-new-policy" TargetMode="External"/><Relationship Id="rId12" Type="http://schemas.openxmlformats.org/officeDocument/2006/relationships/hyperlink" Target="https://doi.org/10.1111/trf.179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trf.17515" TargetMode="External"/><Relationship Id="rId11" Type="http://schemas.openxmlformats.org/officeDocument/2006/relationships/hyperlink" Target="https://doi.org/10.1001/jamahealthforum.2023.2388"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theguardian.com/world/2023/sep/26/new-york-times-aids-gay-rights" TargetMode="External"/><Relationship Id="rId4" Type="http://schemas.openxmlformats.org/officeDocument/2006/relationships/footnotes" Target="footnotes.xml"/><Relationship Id="rId9" Type="http://schemas.openxmlformats.org/officeDocument/2006/relationships/hyperlink" Target="https://www.washingtonpost.com/archive/politics/1992/04/09/in-1983-hiv-blood-screening-was-nonexistent/02f1b98e-710d-4c94-8e2d-9ce5094d2f2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Editor</cp:lastModifiedBy>
  <cp:revision>2</cp:revision>
  <dcterms:created xsi:type="dcterms:W3CDTF">2026-05-05T05:42:00Z</dcterms:created>
  <dcterms:modified xsi:type="dcterms:W3CDTF">2026-05-05T05:42:00Z</dcterms:modified>
</cp:coreProperties>
</file>